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AF976" w14:textId="77777777" w:rsidR="00053D1F" w:rsidRDefault="00053D1F" w:rsidP="00546B5A">
      <w:pPr>
        <w:jc w:val="center"/>
        <w:rPr>
          <w:b/>
        </w:rPr>
      </w:pPr>
    </w:p>
    <w:p w14:paraId="05F4A688" w14:textId="7D375F2F" w:rsidR="004D0B53" w:rsidRDefault="001974CD" w:rsidP="00546B5A">
      <w:pPr>
        <w:jc w:val="center"/>
        <w:rPr>
          <w:b/>
        </w:rPr>
      </w:pPr>
      <w:r>
        <w:rPr>
          <w:b/>
        </w:rPr>
        <w:t>Verwaltungsvorschriften</w:t>
      </w:r>
    </w:p>
    <w:p w14:paraId="15A572D8" w14:textId="2B31A987" w:rsidR="00DC33DD" w:rsidRDefault="00DC33DD" w:rsidP="004D0B53">
      <w:pPr>
        <w:jc w:val="center"/>
        <w:rPr>
          <w:b/>
        </w:rPr>
      </w:pPr>
      <w:r>
        <w:rPr>
          <w:b/>
        </w:rPr>
        <w:t xml:space="preserve">im Bereich der </w:t>
      </w:r>
      <w:r w:rsidR="00476A5B">
        <w:rPr>
          <w:b/>
        </w:rPr>
        <w:t xml:space="preserve">Vollstreckung </w:t>
      </w:r>
      <w:r w:rsidR="00875EF9">
        <w:rPr>
          <w:b/>
        </w:rPr>
        <w:t>in den Hochschulen in staatlicher Trägerschaft des Landes in Nordrhein-Westfalen</w:t>
      </w:r>
    </w:p>
    <w:p w14:paraId="07338E3B" w14:textId="73F54520" w:rsidR="00E2479D" w:rsidRDefault="004D0B53" w:rsidP="004D0B53">
      <w:pPr>
        <w:jc w:val="center"/>
        <w:rPr>
          <w:b/>
        </w:rPr>
      </w:pPr>
      <w:r w:rsidRPr="004D0B53">
        <w:rPr>
          <w:b/>
        </w:rPr>
        <w:t xml:space="preserve">des Ministeriums für </w:t>
      </w:r>
      <w:r w:rsidR="001974CD">
        <w:rPr>
          <w:b/>
        </w:rPr>
        <w:t>Kultur und</w:t>
      </w:r>
      <w:r w:rsidRPr="004D0B53">
        <w:rPr>
          <w:b/>
        </w:rPr>
        <w:t xml:space="preserve"> Wissenschaft</w:t>
      </w:r>
      <w:r w:rsidR="00C46D44">
        <w:rPr>
          <w:b/>
        </w:rPr>
        <w:t xml:space="preserve"> </w:t>
      </w:r>
      <w:r w:rsidRPr="004D0B53">
        <w:rPr>
          <w:b/>
        </w:rPr>
        <w:t>des Landes Nordrhein-Westfalen</w:t>
      </w:r>
    </w:p>
    <w:p w14:paraId="5FE42507" w14:textId="1877D584" w:rsidR="00CC583E" w:rsidRDefault="00546B5A" w:rsidP="00163B5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(Rundschreiben des Ministeriums für </w:t>
      </w:r>
      <w:r w:rsidR="001974CD">
        <w:rPr>
          <w:rFonts w:cs="Arial"/>
          <w:szCs w:val="24"/>
        </w:rPr>
        <w:t>Kultur und</w:t>
      </w:r>
      <w:r w:rsidR="00CC583E">
        <w:rPr>
          <w:rFonts w:cs="Arial"/>
          <w:szCs w:val="24"/>
        </w:rPr>
        <w:t xml:space="preserve"> Wissenschaft </w:t>
      </w:r>
      <w:r w:rsidR="001974CD">
        <w:rPr>
          <w:rFonts w:cs="Arial"/>
          <w:szCs w:val="24"/>
        </w:rPr>
        <w:t>des Landes Nordrhein-Westfalen</w:t>
      </w:r>
    </w:p>
    <w:p w14:paraId="4E6D7534" w14:textId="35BBAB69" w:rsidR="00546B5A" w:rsidRPr="00163B51" w:rsidRDefault="00546B5A" w:rsidP="00163B5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vom </w:t>
      </w:r>
      <w:r w:rsidR="001A2D53">
        <w:rPr>
          <w:rFonts w:cs="Arial"/>
          <w:szCs w:val="24"/>
        </w:rPr>
        <w:t>06.08.2021</w:t>
      </w:r>
      <w:r>
        <w:rPr>
          <w:rFonts w:cs="Arial"/>
          <w:szCs w:val="24"/>
        </w:rPr>
        <w:t xml:space="preserve"> Az.: </w:t>
      </w:r>
      <w:r w:rsidR="001B7D88" w:rsidRPr="001B7D88">
        <w:rPr>
          <w:rFonts w:cs="Arial"/>
          <w:szCs w:val="24"/>
        </w:rPr>
        <w:t>Z.12-3.04.01-145336</w:t>
      </w:r>
      <w:r>
        <w:rPr>
          <w:rFonts w:cs="Arial"/>
          <w:szCs w:val="24"/>
        </w:rPr>
        <w:t>)</w:t>
      </w:r>
      <w:r>
        <w:rPr>
          <w:rFonts w:cs="Arial"/>
          <w:szCs w:val="24"/>
        </w:rPr>
        <w:br/>
      </w:r>
    </w:p>
    <w:p w14:paraId="2F00DB15" w14:textId="362822C0" w:rsidR="004A7E14" w:rsidRDefault="00546B5A" w:rsidP="00163B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6661B3">
        <w:rPr>
          <w:rFonts w:cs="Arial"/>
          <w:szCs w:val="24"/>
        </w:rPr>
        <w:t xml:space="preserve">Aufgrund § </w:t>
      </w:r>
      <w:r w:rsidR="00FE4669" w:rsidRPr="006661B3">
        <w:rPr>
          <w:rFonts w:cs="Arial"/>
          <w:szCs w:val="24"/>
        </w:rPr>
        <w:t xml:space="preserve">82 </w:t>
      </w:r>
      <w:r w:rsidRPr="006661B3">
        <w:rPr>
          <w:rFonts w:cs="Arial"/>
          <w:szCs w:val="24"/>
        </w:rPr>
        <w:t xml:space="preserve">Absatz </w:t>
      </w:r>
      <w:r w:rsidR="00FE4669" w:rsidRPr="006661B3">
        <w:rPr>
          <w:rFonts w:cs="Arial"/>
          <w:szCs w:val="24"/>
        </w:rPr>
        <w:t>1</w:t>
      </w:r>
      <w:r w:rsidRPr="006661B3">
        <w:rPr>
          <w:rFonts w:cs="Arial"/>
          <w:szCs w:val="24"/>
        </w:rPr>
        <w:t xml:space="preserve"> des </w:t>
      </w:r>
      <w:r w:rsidR="00FE4669" w:rsidRPr="006661B3">
        <w:rPr>
          <w:rFonts w:cs="Arial"/>
          <w:szCs w:val="24"/>
        </w:rPr>
        <w:t>Hochschulgesetzes</w:t>
      </w:r>
      <w:r w:rsidRPr="006661B3">
        <w:rPr>
          <w:rFonts w:cs="Arial"/>
          <w:szCs w:val="24"/>
        </w:rPr>
        <w:t xml:space="preserve"> des Landes Nordrhein-Westfalen vom </w:t>
      </w:r>
      <w:r w:rsidR="00FE4669" w:rsidRPr="002066A3">
        <w:rPr>
          <w:rFonts w:cs="Arial"/>
          <w:szCs w:val="24"/>
        </w:rPr>
        <w:t>12. Juli 2019 (GV. NRW. S. 377)</w:t>
      </w:r>
      <w:r w:rsidRPr="006661B3">
        <w:rPr>
          <w:rFonts w:cs="Arial"/>
          <w:szCs w:val="24"/>
        </w:rPr>
        <w:t xml:space="preserve"> werden im Einvernehmen mit dem </w:t>
      </w:r>
      <w:r w:rsidR="00C00B61">
        <w:rPr>
          <w:rFonts w:cs="Arial"/>
          <w:szCs w:val="24"/>
        </w:rPr>
        <w:t>M</w:t>
      </w:r>
      <w:r w:rsidRPr="006661B3">
        <w:rPr>
          <w:rFonts w:cs="Arial"/>
          <w:szCs w:val="24"/>
        </w:rPr>
        <w:t xml:space="preserve">inisterium </w:t>
      </w:r>
      <w:r w:rsidR="00C00B61">
        <w:rPr>
          <w:rFonts w:cs="Arial"/>
          <w:szCs w:val="24"/>
        </w:rPr>
        <w:t xml:space="preserve">der Finanzen </w:t>
      </w:r>
      <w:r w:rsidRPr="006661B3">
        <w:rPr>
          <w:rFonts w:cs="Arial"/>
          <w:szCs w:val="24"/>
        </w:rPr>
        <w:t xml:space="preserve">die nachstehenden </w:t>
      </w:r>
      <w:r w:rsidR="00FE4669" w:rsidRPr="006661B3">
        <w:rPr>
          <w:rFonts w:cs="Arial"/>
          <w:szCs w:val="24"/>
        </w:rPr>
        <w:t xml:space="preserve">Verwaltungsvorschriften </w:t>
      </w:r>
      <w:r w:rsidRPr="006661B3">
        <w:rPr>
          <w:rFonts w:cs="Arial"/>
          <w:szCs w:val="24"/>
        </w:rPr>
        <w:t xml:space="preserve">erlassen. Ministerium im Sinne dieser </w:t>
      </w:r>
      <w:r w:rsidR="00FE4669" w:rsidRPr="006661B3">
        <w:rPr>
          <w:rFonts w:cs="Arial"/>
          <w:szCs w:val="24"/>
        </w:rPr>
        <w:t xml:space="preserve">Verwaltungsvorschriften </w:t>
      </w:r>
      <w:r w:rsidRPr="006661B3">
        <w:rPr>
          <w:rFonts w:cs="Arial"/>
          <w:szCs w:val="24"/>
        </w:rPr>
        <w:t>ist das für die Rechtsaufsicht über die Hochschulen nach § 76 Abs</w:t>
      </w:r>
      <w:r w:rsidR="00434DE5" w:rsidRPr="006661B3">
        <w:rPr>
          <w:rFonts w:cs="Arial"/>
          <w:szCs w:val="24"/>
        </w:rPr>
        <w:t>atz</w:t>
      </w:r>
      <w:r w:rsidRPr="006661B3">
        <w:rPr>
          <w:rFonts w:cs="Arial"/>
          <w:szCs w:val="24"/>
        </w:rPr>
        <w:t xml:space="preserve"> 1 Hochschulgesetz zuständige Ministerium.</w:t>
      </w:r>
    </w:p>
    <w:p w14:paraId="66DE1C70" w14:textId="77777777" w:rsidR="004A7E14" w:rsidRDefault="004A7E14" w:rsidP="00163B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14:paraId="177C6CBE" w14:textId="77777777" w:rsidR="004A7E14" w:rsidRDefault="004A7E14" w:rsidP="00163B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14:paraId="7ED2FD86" w14:textId="3CC9E74F" w:rsidR="004A7E14" w:rsidRPr="004D0B53" w:rsidRDefault="004A7E14" w:rsidP="00163B51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6661B3">
        <w:rPr>
          <w:rFonts w:cs="Arial"/>
          <w:b/>
          <w:szCs w:val="24"/>
        </w:rPr>
        <w:t>1</w:t>
      </w:r>
    </w:p>
    <w:p w14:paraId="03ACEE4B" w14:textId="7939914E" w:rsidR="00BE3F16" w:rsidRDefault="001435B1" w:rsidP="006661B3">
      <w:pPr>
        <w:autoSpaceDE w:val="0"/>
        <w:autoSpaceDN w:val="0"/>
        <w:adjustRightInd w:val="0"/>
        <w:spacing w:after="120" w:line="240" w:lineRule="auto"/>
        <w:jc w:val="both"/>
      </w:pPr>
      <w:r w:rsidRPr="006661B3">
        <w:rPr>
          <w:b/>
        </w:rPr>
        <w:t xml:space="preserve">Allgemeines </w:t>
      </w:r>
    </w:p>
    <w:p w14:paraId="32F8FBFC" w14:textId="4DA5BEED" w:rsidR="00284D01" w:rsidRDefault="00284D01" w:rsidP="00284D01">
      <w:pPr>
        <w:contextualSpacing/>
        <w:jc w:val="both"/>
      </w:pPr>
      <w:r>
        <w:t>1.1</w:t>
      </w:r>
    </w:p>
    <w:p w14:paraId="6A9A6AE7" w14:textId="07E02469" w:rsidR="00284D01" w:rsidRDefault="00B45486" w:rsidP="00284D01">
      <w:pPr>
        <w:contextualSpacing/>
        <w:jc w:val="both"/>
      </w:pPr>
      <w:r>
        <w:t xml:space="preserve">Zuständige </w:t>
      </w:r>
      <w:r w:rsidR="00284D01">
        <w:t xml:space="preserve">Vollstreckungsbehörde für die Hochschulen in staatlicher Trägerschaft des Landes Nordrhein-Westfalen ist die </w:t>
      </w:r>
      <w:r>
        <w:t>Heinrich-Heine-Universität Düsseldorf (HHU)</w:t>
      </w:r>
      <w:r w:rsidR="00284D01">
        <w:t>.</w:t>
      </w:r>
    </w:p>
    <w:p w14:paraId="4905AEC8" w14:textId="77777777" w:rsidR="00284D01" w:rsidRDefault="00284D01" w:rsidP="00284D01">
      <w:pPr>
        <w:contextualSpacing/>
        <w:jc w:val="both"/>
      </w:pPr>
    </w:p>
    <w:p w14:paraId="081CDAB3" w14:textId="25E6474D" w:rsidR="00284D01" w:rsidRDefault="00284D01" w:rsidP="00284D01">
      <w:pPr>
        <w:contextualSpacing/>
        <w:jc w:val="both"/>
      </w:pPr>
      <w:r>
        <w:t>1.2</w:t>
      </w:r>
    </w:p>
    <w:p w14:paraId="1CF8B41B" w14:textId="7A25ECB4" w:rsidR="007E4400" w:rsidRDefault="00BE3F16" w:rsidP="006661B3">
      <w:pPr>
        <w:jc w:val="both"/>
      </w:pPr>
      <w:r>
        <w:t>Geldforderungen des Landes, der Gemeinden und Gemeindeverbände, der sonstigen unter Landesaufsicht stehenden Körperschaften sowie Anstalten und Stiftungen des öffentlichen Rechts, die öffentlich-rechtlicher Natur sind oder deren Beitreibung nach</w:t>
      </w:r>
      <w:r w:rsidR="007939D2">
        <w:t xml:space="preserve"> § 1</w:t>
      </w:r>
      <w:r>
        <w:t xml:space="preserve"> Absatz 2 </w:t>
      </w:r>
      <w:r w:rsidR="00C54CF2">
        <w:t xml:space="preserve">des </w:t>
      </w:r>
      <w:r w:rsidR="005B708E">
        <w:t>Verwaltungsvollstreckungsgesetz</w:t>
      </w:r>
      <w:r w:rsidR="00C54CF2">
        <w:t>es</w:t>
      </w:r>
      <w:r w:rsidR="005B708E">
        <w:t xml:space="preserve"> für das Land Nordrhein-Westfalen</w:t>
      </w:r>
      <w:r w:rsidR="00C810CF">
        <w:t xml:space="preserve"> i</w:t>
      </w:r>
      <w:r w:rsidR="00C810CF" w:rsidRPr="00C810CF">
        <w:t>n der Fassung der Bekanntmachung vom 19. Februar 2003 (GV. NRW. S. 156, 2005 S. 818)</w:t>
      </w:r>
      <w:r w:rsidR="00C810CF">
        <w:t>, z</w:t>
      </w:r>
      <w:r w:rsidR="00C810CF" w:rsidRPr="00C810CF">
        <w:t>uletzt geändert durch Artikel 1 des Gesetzes vo</w:t>
      </w:r>
      <w:r w:rsidR="00C810CF">
        <w:t>m 8. Juli 2016 (GV. NRW. S. 557)</w:t>
      </w:r>
      <w:r w:rsidR="005B708E">
        <w:t xml:space="preserve"> (</w:t>
      </w:r>
      <w:proofErr w:type="spellStart"/>
      <w:r w:rsidR="007939D2" w:rsidRPr="007939D2">
        <w:t>VwVG</w:t>
      </w:r>
      <w:proofErr w:type="spellEnd"/>
      <w:r w:rsidR="008B5549">
        <w:t xml:space="preserve"> NRW</w:t>
      </w:r>
      <w:r w:rsidR="005B708E">
        <w:t>)</w:t>
      </w:r>
      <w:r w:rsidR="00C810CF">
        <w:t>,</w:t>
      </w:r>
      <w:r w:rsidR="005B708E">
        <w:t xml:space="preserve"> </w:t>
      </w:r>
      <w:r>
        <w:t xml:space="preserve">zugelassen ist, werden gemäß § 1 des </w:t>
      </w:r>
      <w:proofErr w:type="spellStart"/>
      <w:r w:rsidR="007939D2" w:rsidRPr="007939D2">
        <w:t>VwVG</w:t>
      </w:r>
      <w:proofErr w:type="spellEnd"/>
      <w:r w:rsidR="008B5549">
        <w:t xml:space="preserve"> NRW</w:t>
      </w:r>
      <w:r>
        <w:t xml:space="preserve"> im Verwaltungswege vollstreckt. Dies gilt entsprechend für die Beitreibung von Forderungen öffentlich-rechtlicher Natur solcher Stellen und Personen, denen durch Gesetz hoheitliche Aufgaben übertragen sind.</w:t>
      </w:r>
    </w:p>
    <w:p w14:paraId="1C3E6DD8" w14:textId="1BF6A124" w:rsidR="00BE3F16" w:rsidRDefault="00BE3F16" w:rsidP="006661B3">
      <w:pPr>
        <w:jc w:val="both"/>
      </w:pPr>
    </w:p>
    <w:p w14:paraId="3DB3215A" w14:textId="5EA7FB75" w:rsidR="004A7E14" w:rsidRDefault="001233A4" w:rsidP="006661B3">
      <w:pPr>
        <w:spacing w:after="0"/>
        <w:contextualSpacing/>
        <w:jc w:val="both"/>
        <w:rPr>
          <w:b/>
        </w:rPr>
      </w:pPr>
      <w:r w:rsidRPr="006661B3">
        <w:rPr>
          <w:b/>
        </w:rPr>
        <w:t xml:space="preserve">2 </w:t>
      </w:r>
      <w:r w:rsidR="004C6D89" w:rsidRPr="006661B3">
        <w:rPr>
          <w:b/>
        </w:rPr>
        <w:tab/>
      </w:r>
    </w:p>
    <w:p w14:paraId="00B91E93" w14:textId="6229AB7F" w:rsidR="003F0618" w:rsidRDefault="007511DD" w:rsidP="006661B3">
      <w:pPr>
        <w:spacing w:after="120"/>
        <w:jc w:val="both"/>
        <w:rPr>
          <w:b/>
        </w:rPr>
      </w:pPr>
      <w:r w:rsidRPr="006661B3">
        <w:rPr>
          <w:b/>
        </w:rPr>
        <w:t>Mahnwesen</w:t>
      </w:r>
    </w:p>
    <w:p w14:paraId="7271A069" w14:textId="0EAF3D94" w:rsidR="004A7E14" w:rsidRDefault="004A7E14" w:rsidP="006661B3">
      <w:pPr>
        <w:spacing w:after="0"/>
        <w:jc w:val="both"/>
      </w:pPr>
      <w:r>
        <w:t>2.1</w:t>
      </w:r>
    </w:p>
    <w:p w14:paraId="73DA019F" w14:textId="7498C9EB" w:rsidR="00703244" w:rsidRDefault="00703244" w:rsidP="00616FF6">
      <w:pPr>
        <w:spacing w:after="120"/>
        <w:jc w:val="both"/>
      </w:pPr>
      <w:r w:rsidRPr="000D05B4">
        <w:t xml:space="preserve">Der Auftrag zur Beitreibung einer in § 1 </w:t>
      </w:r>
      <w:r>
        <w:t xml:space="preserve">Absatz 2 </w:t>
      </w:r>
      <w:proofErr w:type="spellStart"/>
      <w:r>
        <w:t>VwVG</w:t>
      </w:r>
      <w:proofErr w:type="spellEnd"/>
      <w:r>
        <w:t xml:space="preserve"> NRW </w:t>
      </w:r>
      <w:r w:rsidRPr="000D05B4">
        <w:t xml:space="preserve">genannten Geldforderung kann an </w:t>
      </w:r>
      <w:r>
        <w:t xml:space="preserve">die </w:t>
      </w:r>
      <w:r w:rsidR="00C55284">
        <w:t>H</w:t>
      </w:r>
      <w:r w:rsidR="00C00B61">
        <w:t>HU</w:t>
      </w:r>
      <w:r w:rsidRPr="000D05B4">
        <w:t xml:space="preserve"> erfolgen, sofern </w:t>
      </w:r>
      <w:r>
        <w:t>seitens der</w:t>
      </w:r>
      <w:r w:rsidRPr="000D05B4">
        <w:t xml:space="preserve"> Gläubigerhochschule </w:t>
      </w:r>
      <w:r>
        <w:t xml:space="preserve">eine Zahlungserinnerung </w:t>
      </w:r>
      <w:r w:rsidRPr="000D05B4">
        <w:t xml:space="preserve">zusätzlich zur Mahnung </w:t>
      </w:r>
      <w:r>
        <w:t>erfolgt ist</w:t>
      </w:r>
      <w:r w:rsidRPr="000D05B4">
        <w:t>.</w:t>
      </w:r>
    </w:p>
    <w:p w14:paraId="520B6D69" w14:textId="16BF8228" w:rsidR="004A7E14" w:rsidRDefault="004A7E14" w:rsidP="00616FF6">
      <w:pPr>
        <w:spacing w:after="120"/>
        <w:contextualSpacing/>
        <w:jc w:val="both"/>
      </w:pPr>
      <w:r>
        <w:t>2.2</w:t>
      </w:r>
    </w:p>
    <w:p w14:paraId="1F891CAA" w14:textId="78DA6BCC" w:rsidR="00703244" w:rsidRDefault="00703244" w:rsidP="00703244">
      <w:pPr>
        <w:spacing w:after="120"/>
        <w:jc w:val="both"/>
      </w:pPr>
      <w:r>
        <w:t xml:space="preserve">Die Mahnung von Forderungen gem. § 19 </w:t>
      </w:r>
      <w:proofErr w:type="spellStart"/>
      <w:r>
        <w:t>VwVG</w:t>
      </w:r>
      <w:proofErr w:type="spellEnd"/>
      <w:r>
        <w:t xml:space="preserve"> NRW obliegt grundsätzlich den Gläubigerhochschulen. Die entsprechenden Mahnschreiben bzw. Zahlungserinnerungen sind der Vollstreckungsakte beizufügen.</w:t>
      </w:r>
    </w:p>
    <w:p w14:paraId="60CE5A27" w14:textId="43985568" w:rsidR="00053D1F" w:rsidRDefault="00053D1F" w:rsidP="006661B3">
      <w:pPr>
        <w:spacing w:after="120"/>
        <w:jc w:val="both"/>
      </w:pPr>
    </w:p>
    <w:p w14:paraId="46114767" w14:textId="5AC12717" w:rsidR="009F005E" w:rsidRDefault="009F005E" w:rsidP="006661B3">
      <w:pPr>
        <w:spacing w:after="120"/>
        <w:jc w:val="both"/>
      </w:pPr>
    </w:p>
    <w:p w14:paraId="3F0577A5" w14:textId="77777777" w:rsidR="001A2D53" w:rsidRDefault="001A2D53" w:rsidP="006661B3">
      <w:pPr>
        <w:spacing w:after="120"/>
        <w:jc w:val="both"/>
      </w:pPr>
    </w:p>
    <w:p w14:paraId="79DF9FA8" w14:textId="77777777" w:rsidR="004A7E14" w:rsidRDefault="004A7E14" w:rsidP="006661B3">
      <w:pPr>
        <w:spacing w:after="0"/>
      </w:pPr>
      <w:r>
        <w:t>2.3</w:t>
      </w:r>
    </w:p>
    <w:p w14:paraId="75CC7B63" w14:textId="77777777" w:rsidR="00062EB4" w:rsidRDefault="003C60AD" w:rsidP="006661B3">
      <w:pPr>
        <w:spacing w:after="120"/>
        <w:jc w:val="both"/>
      </w:pPr>
      <w:r>
        <w:t xml:space="preserve">Ist keine Mahnung erfolgt, ist </w:t>
      </w:r>
      <w:r w:rsidR="00625D2F">
        <w:t xml:space="preserve">auf dem Vorblatt </w:t>
      </w:r>
      <w:r>
        <w:t>unter Angabe von Gründen besonders darauf hinzuweisen</w:t>
      </w:r>
      <w:r w:rsidR="00062EB4">
        <w:t>.</w:t>
      </w:r>
    </w:p>
    <w:p w14:paraId="6C7093CC" w14:textId="77777777" w:rsidR="004A7E14" w:rsidRDefault="004A7E14" w:rsidP="006661B3">
      <w:pPr>
        <w:spacing w:after="0"/>
        <w:jc w:val="both"/>
      </w:pPr>
      <w:r>
        <w:t>2.4</w:t>
      </w:r>
    </w:p>
    <w:p w14:paraId="20236922" w14:textId="6BFEB142" w:rsidR="00260DCB" w:rsidRDefault="003C60AD" w:rsidP="006661B3">
      <w:pPr>
        <w:jc w:val="both"/>
      </w:pPr>
      <w:r>
        <w:t xml:space="preserve">Ist eine Mahnung oder Zahlungserinnerung unzustellbar, obliegt die Ermittlung </w:t>
      </w:r>
      <w:r w:rsidR="00455A21">
        <w:t xml:space="preserve">der Schuldneradresse </w:t>
      </w:r>
      <w:r>
        <w:t>der Gläubigerhochschule.</w:t>
      </w:r>
    </w:p>
    <w:p w14:paraId="1038D2D1" w14:textId="77777777" w:rsidR="004A7E14" w:rsidRDefault="004A7E14" w:rsidP="007511DD">
      <w:pPr>
        <w:jc w:val="both"/>
      </w:pPr>
    </w:p>
    <w:p w14:paraId="0B4CDE85" w14:textId="7BB78194" w:rsidR="004A7E14" w:rsidRDefault="001233A4" w:rsidP="009F005E">
      <w:pPr>
        <w:spacing w:after="0"/>
        <w:jc w:val="both"/>
        <w:rPr>
          <w:b/>
        </w:rPr>
      </w:pPr>
      <w:r w:rsidRPr="006661B3">
        <w:rPr>
          <w:b/>
        </w:rPr>
        <w:t xml:space="preserve">3 </w:t>
      </w:r>
      <w:r w:rsidR="004C6D89" w:rsidRPr="006661B3">
        <w:rPr>
          <w:b/>
        </w:rPr>
        <w:tab/>
      </w:r>
    </w:p>
    <w:p w14:paraId="3D5AA515" w14:textId="4541E076" w:rsidR="007511DD" w:rsidRPr="006661B3" w:rsidRDefault="007511DD" w:rsidP="006661B3">
      <w:pPr>
        <w:spacing w:after="120"/>
        <w:jc w:val="both"/>
        <w:rPr>
          <w:b/>
        </w:rPr>
      </w:pPr>
      <w:r w:rsidRPr="006661B3">
        <w:rPr>
          <w:b/>
        </w:rPr>
        <w:t>Bagatellgrenzen</w:t>
      </w:r>
    </w:p>
    <w:p w14:paraId="51735C1B" w14:textId="77777777" w:rsidR="004A7E14" w:rsidRDefault="004A7E14" w:rsidP="006661B3">
      <w:pPr>
        <w:spacing w:after="0"/>
        <w:jc w:val="both"/>
      </w:pPr>
      <w:r>
        <w:t>3.1</w:t>
      </w:r>
    </w:p>
    <w:p w14:paraId="023B037A" w14:textId="328B4853" w:rsidR="00791D51" w:rsidRPr="00BA180E" w:rsidRDefault="001937B1" w:rsidP="006661B3">
      <w:pPr>
        <w:spacing w:after="120"/>
        <w:jc w:val="both"/>
      </w:pPr>
      <w:r w:rsidRPr="006661B3">
        <w:t xml:space="preserve">Bei einem Rückstand oder Gesamtrückstand von weniger als 25 </w:t>
      </w:r>
      <w:r w:rsidR="00F256FA">
        <w:t>Euro</w:t>
      </w:r>
      <w:r w:rsidRPr="006661B3">
        <w:t xml:space="preserve"> soll von der Vollstreckung oder dem Antrag auf Erlass eines Mahnbescheides abgesehen werden. Werden mehrere Ansprüche auf einem Personenkonto nachgewiesen, gilt die Kleinbetragsgrenze von weniger als 25 </w:t>
      </w:r>
      <w:r w:rsidR="00F256FA">
        <w:t>Euro</w:t>
      </w:r>
      <w:r w:rsidRPr="006661B3">
        <w:t xml:space="preserve"> für den Gesamtrückstand. Ein bei Abschluss des Kontos nicht entrichteter Kleinbetrag von weniger als 25 </w:t>
      </w:r>
      <w:r w:rsidR="00F256FA">
        <w:t>Euro</w:t>
      </w:r>
      <w:r w:rsidRPr="006661B3">
        <w:t xml:space="preserve"> ist als unbefristet niedergeschlagen zu behandeln.</w:t>
      </w:r>
      <w:r w:rsidR="004A7E14">
        <w:t xml:space="preserve"> </w:t>
      </w:r>
      <w:r w:rsidR="00262F64" w:rsidRPr="006661B3">
        <w:t>Es liegt im Ermessen der Gläubigerhochschule zu prüfen, inwieweit die Vollstreckung vollzogen wird</w:t>
      </w:r>
      <w:r w:rsidR="00262F64" w:rsidRPr="00BA180E">
        <w:t>.</w:t>
      </w:r>
    </w:p>
    <w:p w14:paraId="79EC96D8" w14:textId="77777777" w:rsidR="004A7E14" w:rsidRDefault="004A7E14" w:rsidP="006661B3">
      <w:pPr>
        <w:spacing w:after="0"/>
        <w:jc w:val="both"/>
      </w:pPr>
      <w:r>
        <w:t>3.2</w:t>
      </w:r>
    </w:p>
    <w:p w14:paraId="0BE340F8" w14:textId="6F90D0E2" w:rsidR="007E4400" w:rsidRPr="006661B3" w:rsidRDefault="00625D2F" w:rsidP="006661B3">
      <w:pPr>
        <w:jc w:val="both"/>
      </w:pPr>
      <w:r w:rsidRPr="006661B3">
        <w:t xml:space="preserve">Nach erfolgloser Vollstreckung in das bewegliche Vermögen sind weitere Maßnahmen nur bei einem Rückstand oder Gesamtrückstand von mehr als 200 </w:t>
      </w:r>
      <w:r w:rsidR="00F256FA">
        <w:t>Euro</w:t>
      </w:r>
      <w:r w:rsidRPr="006661B3">
        <w:t xml:space="preserve"> und nur dann einzuleiten, wenn sie in einem angemessenen Verhältnis zur Höhe des Anspruchs stehen.</w:t>
      </w:r>
    </w:p>
    <w:p w14:paraId="1E0FA437" w14:textId="77777777" w:rsidR="002958F2" w:rsidRPr="002958F2" w:rsidRDefault="002958F2" w:rsidP="006661B3">
      <w:pPr>
        <w:jc w:val="both"/>
        <w:rPr>
          <w:i/>
        </w:rPr>
      </w:pPr>
    </w:p>
    <w:p w14:paraId="5DBD4C9C" w14:textId="1BE9B246" w:rsidR="005540FB" w:rsidRDefault="001233A4" w:rsidP="006661B3">
      <w:pPr>
        <w:spacing w:after="0"/>
        <w:jc w:val="both"/>
        <w:rPr>
          <w:b/>
        </w:rPr>
      </w:pPr>
      <w:r w:rsidRPr="006661B3">
        <w:rPr>
          <w:b/>
        </w:rPr>
        <w:t xml:space="preserve">4 </w:t>
      </w:r>
      <w:r w:rsidR="004C6D89" w:rsidRPr="006661B3">
        <w:rPr>
          <w:b/>
        </w:rPr>
        <w:tab/>
      </w:r>
    </w:p>
    <w:p w14:paraId="591B9DF5" w14:textId="7D0902CC" w:rsidR="0061030A" w:rsidRPr="006661B3" w:rsidRDefault="0061030A" w:rsidP="006661B3">
      <w:pPr>
        <w:spacing w:after="120"/>
        <w:jc w:val="both"/>
        <w:rPr>
          <w:b/>
        </w:rPr>
      </w:pPr>
      <w:r w:rsidRPr="006661B3">
        <w:rPr>
          <w:b/>
        </w:rPr>
        <w:t>Beitreibungsaufträge</w:t>
      </w:r>
    </w:p>
    <w:p w14:paraId="1340BF84" w14:textId="77777777" w:rsidR="005540FB" w:rsidRDefault="005540FB" w:rsidP="006661B3">
      <w:pPr>
        <w:spacing w:after="0"/>
        <w:jc w:val="both"/>
      </w:pPr>
      <w:r>
        <w:t>4.1</w:t>
      </w:r>
    </w:p>
    <w:p w14:paraId="3464F2AD" w14:textId="2765E824" w:rsidR="0052469D" w:rsidRDefault="0061030A" w:rsidP="006661B3">
      <w:pPr>
        <w:spacing w:after="120"/>
        <w:contextualSpacing/>
        <w:jc w:val="both"/>
      </w:pPr>
      <w:r>
        <w:t>Für die Erteilung eines Beitreibungsauftrags, welche durch die Gläubigerhochschule erfolgt, sind mindestens folgende Unterlagen erforderlich:</w:t>
      </w:r>
      <w:r w:rsidR="004C6D89">
        <w:tab/>
      </w:r>
      <w:r w:rsidR="004C6D89">
        <w:tab/>
      </w:r>
    </w:p>
    <w:p w14:paraId="100CF49C" w14:textId="77777777" w:rsidR="0052469D" w:rsidRDefault="0052469D" w:rsidP="006661B3">
      <w:pPr>
        <w:spacing w:after="0"/>
        <w:jc w:val="both"/>
      </w:pPr>
      <w:r>
        <w:t xml:space="preserve">4.1.1. </w:t>
      </w:r>
    </w:p>
    <w:p w14:paraId="5533F8FC" w14:textId="0B877623" w:rsidR="0061030A" w:rsidRDefault="0061030A" w:rsidP="006661B3">
      <w:pPr>
        <w:spacing w:after="120"/>
        <w:jc w:val="both"/>
      </w:pPr>
      <w:r>
        <w:t xml:space="preserve">Vorblatt gemäß Anlage </w:t>
      </w:r>
      <w:r w:rsidR="00A924C4">
        <w:t>1</w:t>
      </w:r>
      <w:r w:rsidR="00143E77">
        <w:t>,</w:t>
      </w:r>
    </w:p>
    <w:p w14:paraId="11DCB988" w14:textId="77777777" w:rsidR="0052469D" w:rsidRDefault="0052469D" w:rsidP="006661B3">
      <w:pPr>
        <w:spacing w:after="0"/>
        <w:jc w:val="both"/>
      </w:pPr>
      <w:r>
        <w:t>4.1.2.</w:t>
      </w:r>
    </w:p>
    <w:p w14:paraId="45E3B131" w14:textId="1627E586" w:rsidR="0061030A" w:rsidRDefault="0061030A" w:rsidP="006661B3">
      <w:pPr>
        <w:spacing w:after="120"/>
        <w:jc w:val="both"/>
      </w:pPr>
      <w:r>
        <w:t>Mahn</w:t>
      </w:r>
      <w:r w:rsidR="00143E77">
        <w:t>ung</w:t>
      </w:r>
      <w:r w:rsidR="00CF26B0">
        <w:t xml:space="preserve"> bzw.</w:t>
      </w:r>
      <w:r w:rsidR="00284D01">
        <w:t xml:space="preserve"> </w:t>
      </w:r>
      <w:r w:rsidR="00143E77">
        <w:t xml:space="preserve">Zahlungserinnerung nach </w:t>
      </w:r>
      <w:r w:rsidR="000576A7">
        <w:t>Ziff</w:t>
      </w:r>
      <w:r w:rsidR="00031ACE">
        <w:t>er</w:t>
      </w:r>
      <w:r w:rsidR="00143E77">
        <w:t xml:space="preserve"> </w:t>
      </w:r>
      <w:r w:rsidR="000B20F9">
        <w:t>2</w:t>
      </w:r>
      <w:r w:rsidR="00143E77">
        <w:t>,</w:t>
      </w:r>
    </w:p>
    <w:p w14:paraId="1AB089F9" w14:textId="77777777" w:rsidR="0052469D" w:rsidRDefault="0052469D" w:rsidP="006661B3">
      <w:pPr>
        <w:spacing w:after="0"/>
        <w:jc w:val="both"/>
      </w:pPr>
      <w:r>
        <w:t>4.1.3.</w:t>
      </w:r>
    </w:p>
    <w:p w14:paraId="4B116FE1" w14:textId="1F79B20E" w:rsidR="0061030A" w:rsidRDefault="0061030A" w:rsidP="006661B3">
      <w:pPr>
        <w:spacing w:after="120"/>
        <w:jc w:val="both"/>
      </w:pPr>
      <w:r>
        <w:t>Leistungs- bzw. Gebührenbescheid</w:t>
      </w:r>
      <w:r w:rsidR="00143E77">
        <w:t xml:space="preserve"> und</w:t>
      </w:r>
    </w:p>
    <w:p w14:paraId="7C93471D" w14:textId="77777777" w:rsidR="0052469D" w:rsidRDefault="0052469D" w:rsidP="00616FF6">
      <w:pPr>
        <w:spacing w:after="120"/>
        <w:contextualSpacing/>
        <w:jc w:val="both"/>
      </w:pPr>
      <w:r>
        <w:t>4.1.4.</w:t>
      </w:r>
    </w:p>
    <w:p w14:paraId="76FDE4B9" w14:textId="3EDE07A7" w:rsidR="005A323B" w:rsidRDefault="00143E77" w:rsidP="006661B3">
      <w:pPr>
        <w:spacing w:after="120"/>
        <w:jc w:val="both"/>
      </w:pPr>
      <w:r>
        <w:t>w</w:t>
      </w:r>
      <w:r w:rsidR="005A323B">
        <w:t>eiterer Schriftverkehr, soweit vorhanden</w:t>
      </w:r>
      <w:r>
        <w:t>.</w:t>
      </w:r>
    </w:p>
    <w:p w14:paraId="48F3E9DB" w14:textId="1F0C85C0" w:rsidR="005540FB" w:rsidRDefault="005540FB" w:rsidP="006661B3">
      <w:pPr>
        <w:spacing w:after="0"/>
        <w:jc w:val="both"/>
      </w:pPr>
      <w:r>
        <w:t>4.2</w:t>
      </w:r>
    </w:p>
    <w:p w14:paraId="7FE71CDB" w14:textId="097974E9" w:rsidR="00713D57" w:rsidRDefault="00713D57" w:rsidP="00616FF6">
      <w:pPr>
        <w:spacing w:after="120"/>
        <w:jc w:val="both"/>
      </w:pPr>
      <w:r>
        <w:t xml:space="preserve">Im Falle eines Beitreibungsauftrages an die </w:t>
      </w:r>
      <w:r w:rsidR="00C55284">
        <w:t xml:space="preserve">HHU </w:t>
      </w:r>
      <w:r>
        <w:t>informiert die beauftragende Hochschule unverzüglich den Schuldner über die Abgabe und über die neue Bankverbindung.</w:t>
      </w:r>
    </w:p>
    <w:p w14:paraId="0FEDEE1B" w14:textId="391FEA1F" w:rsidR="009840FA" w:rsidRDefault="009840FA" w:rsidP="00616FF6">
      <w:pPr>
        <w:spacing w:after="120"/>
        <w:contextualSpacing/>
        <w:jc w:val="both"/>
      </w:pPr>
      <w:r>
        <w:t>4.3</w:t>
      </w:r>
    </w:p>
    <w:p w14:paraId="18658599" w14:textId="1594AB7B" w:rsidR="009840FA" w:rsidRDefault="009840FA" w:rsidP="006661B3">
      <w:pPr>
        <w:contextualSpacing/>
        <w:jc w:val="both"/>
      </w:pPr>
      <w:r>
        <w:t>Grundsätzlich ist auch die Übermittlung des Be</w:t>
      </w:r>
      <w:r w:rsidR="00B27687">
        <w:t>i</w:t>
      </w:r>
      <w:r>
        <w:t xml:space="preserve">treibungsauftrages als verschlüsseltes PDF-Dokument </w:t>
      </w:r>
      <w:r w:rsidR="00A924C4">
        <w:t xml:space="preserve">an die HHU </w:t>
      </w:r>
      <w:r>
        <w:t>möglich.</w:t>
      </w:r>
      <w:r w:rsidR="00A924C4">
        <w:t xml:space="preserve"> </w:t>
      </w:r>
    </w:p>
    <w:p w14:paraId="65310DD7" w14:textId="77777777" w:rsidR="00043C12" w:rsidRDefault="00043C12" w:rsidP="006661B3">
      <w:pPr>
        <w:contextualSpacing/>
        <w:jc w:val="both"/>
      </w:pPr>
    </w:p>
    <w:p w14:paraId="232C3C3C" w14:textId="1EB01C0E" w:rsidR="004E2654" w:rsidRDefault="001E4AA0" w:rsidP="006661B3">
      <w:pPr>
        <w:contextualSpacing/>
        <w:jc w:val="both"/>
      </w:pPr>
      <w:r>
        <w:t xml:space="preserve">Das Passwort ist der HHU vor der Übermittlung von Beitreibungsaufträgen mitzuteilen. </w:t>
      </w:r>
      <w:r w:rsidR="006D767E">
        <w:t xml:space="preserve">Das Passwort muss mindestens aus 12 Zeichen bestehen und Sonderzeichen, Ziffern sowie Buchstaben enthalten. </w:t>
      </w:r>
      <w:r w:rsidR="004E2654">
        <w:t>Das Passwort gilt bis zu</w:t>
      </w:r>
      <w:r w:rsidR="006D767E">
        <w:t xml:space="preserve"> dessen</w:t>
      </w:r>
      <w:r w:rsidR="004E2654">
        <w:t xml:space="preserve"> Änderung für alle als Datei (PDF-Format) übermittelten Beitreibungsaufträge.</w:t>
      </w:r>
    </w:p>
    <w:p w14:paraId="7F47680F" w14:textId="038342E3" w:rsidR="00C55284" w:rsidRDefault="006D767E" w:rsidP="006661B3">
      <w:pPr>
        <w:jc w:val="both"/>
      </w:pPr>
      <w:r>
        <w:t xml:space="preserve">Die Übermittlung des Passwortes erfolgt </w:t>
      </w:r>
      <w:r w:rsidR="00372F91">
        <w:t xml:space="preserve">einmalig </w:t>
      </w:r>
      <w:r>
        <w:t>auf dem Postweg. Hierfür ist das Formblatt der</w:t>
      </w:r>
      <w:r w:rsidR="004E2654">
        <w:t xml:space="preserve"> Anlage 2 zu verwenden. </w:t>
      </w:r>
      <w:r w:rsidR="00EE0081">
        <w:t xml:space="preserve">Der Versand an die HHU </w:t>
      </w:r>
      <w:r>
        <w:t>ist mit dem Hinweis: Vertraulich zu versehen.</w:t>
      </w:r>
    </w:p>
    <w:p w14:paraId="257DF0D0" w14:textId="2A8C2666" w:rsidR="00C55284" w:rsidRDefault="00C55284" w:rsidP="00C55284">
      <w:pPr>
        <w:spacing w:after="0"/>
        <w:jc w:val="both"/>
      </w:pPr>
      <w:r>
        <w:t>4.4</w:t>
      </w:r>
    </w:p>
    <w:p w14:paraId="4992C463" w14:textId="777819C7" w:rsidR="00703244" w:rsidRDefault="00C55284" w:rsidP="00616FF6">
      <w:pPr>
        <w:jc w:val="both"/>
      </w:pPr>
      <w:r w:rsidRPr="00C55284">
        <w:t>Bei Vorliegen technischer Voraussetzungen, die durch die HHU definiert werden können, können Beitreibungsaufträge gemäß Ziffer 4 Absatz 1 durch Ferneingabe in Verantwortung der Gläubigerhochschule in eine Vollstreckungssoftware und durch die Bereitstellung der Unterlagen in digitaler Form erfolgen. Die Umsetzung bzw. die Implementierung notwendiger technischer Voraussetz</w:t>
      </w:r>
      <w:r>
        <w:t>ungen liegt im Ermessen der HHU.</w:t>
      </w:r>
    </w:p>
    <w:p w14:paraId="76547555" w14:textId="7ED2E32D" w:rsidR="00C55284" w:rsidRDefault="00C55284" w:rsidP="00C55284">
      <w:pPr>
        <w:spacing w:after="0"/>
        <w:jc w:val="both"/>
      </w:pPr>
      <w:r>
        <w:t>4.5</w:t>
      </w:r>
    </w:p>
    <w:p w14:paraId="76476D7E" w14:textId="2AD4E3CF" w:rsidR="00C55284" w:rsidRDefault="00C55284" w:rsidP="00C55284">
      <w:pPr>
        <w:jc w:val="both"/>
      </w:pPr>
      <w:r w:rsidRPr="00C55284">
        <w:t>Bisherige Regelungen zum sogenannten Filetransfer zwischen der HHU und der Fernuniversität Hagen bleiben bestehen</w:t>
      </w:r>
      <w:r>
        <w:t>.</w:t>
      </w:r>
    </w:p>
    <w:p w14:paraId="0B0E3B23" w14:textId="77777777" w:rsidR="00C55284" w:rsidRDefault="00C55284" w:rsidP="006661B3">
      <w:pPr>
        <w:jc w:val="both"/>
      </w:pPr>
    </w:p>
    <w:p w14:paraId="6300D5A1" w14:textId="77C759A7" w:rsidR="00B4660B" w:rsidRDefault="001233A4" w:rsidP="006661B3">
      <w:pPr>
        <w:spacing w:after="0"/>
        <w:jc w:val="both"/>
        <w:rPr>
          <w:b/>
        </w:rPr>
      </w:pPr>
      <w:r w:rsidRPr="006661B3">
        <w:rPr>
          <w:b/>
        </w:rPr>
        <w:t xml:space="preserve">5 </w:t>
      </w:r>
      <w:r w:rsidR="004C6D89" w:rsidRPr="006661B3">
        <w:rPr>
          <w:b/>
        </w:rPr>
        <w:tab/>
      </w:r>
    </w:p>
    <w:p w14:paraId="3655266A" w14:textId="419DEFAF" w:rsidR="00747D99" w:rsidRPr="006661B3" w:rsidRDefault="00747D99" w:rsidP="006661B3">
      <w:pPr>
        <w:spacing w:after="120"/>
        <w:jc w:val="both"/>
        <w:rPr>
          <w:b/>
        </w:rPr>
      </w:pPr>
      <w:r w:rsidRPr="006661B3">
        <w:rPr>
          <w:b/>
        </w:rPr>
        <w:t>Niederschlagungen</w:t>
      </w:r>
      <w:r w:rsidR="00521579" w:rsidRPr="006661B3">
        <w:rPr>
          <w:b/>
        </w:rPr>
        <w:t>, Stundungen</w:t>
      </w:r>
      <w:r w:rsidR="003A70EC" w:rsidRPr="006661B3">
        <w:rPr>
          <w:b/>
        </w:rPr>
        <w:t>,</w:t>
      </w:r>
      <w:r w:rsidR="00521579" w:rsidRPr="006661B3">
        <w:rPr>
          <w:b/>
        </w:rPr>
        <w:t xml:space="preserve"> Zahlungsvereinbarungen</w:t>
      </w:r>
      <w:r w:rsidR="003A70EC" w:rsidRPr="006661B3">
        <w:rPr>
          <w:b/>
        </w:rPr>
        <w:t xml:space="preserve"> und Erlasse</w:t>
      </w:r>
    </w:p>
    <w:p w14:paraId="6CCAEC35" w14:textId="27DCF27A" w:rsidR="00B4660B" w:rsidRDefault="00B4660B" w:rsidP="006661B3">
      <w:pPr>
        <w:spacing w:after="0"/>
        <w:jc w:val="both"/>
      </w:pPr>
      <w:r>
        <w:t>5.1</w:t>
      </w:r>
    </w:p>
    <w:p w14:paraId="7BAF8792" w14:textId="50070A7B" w:rsidR="00521579" w:rsidRDefault="00521579" w:rsidP="006661B3">
      <w:pPr>
        <w:spacing w:after="120"/>
        <w:jc w:val="both"/>
      </w:pPr>
      <w:r>
        <w:t>Niederschlagungen</w:t>
      </w:r>
      <w:r w:rsidR="003A70EC">
        <w:t xml:space="preserve"> im Vollstreckungsverfahren</w:t>
      </w:r>
      <w:r>
        <w:t xml:space="preserve">, auch befristete, Stundungsvereinbarungen und Teilzahlungsvereinbarungen fallen in die ausschließliche Zuständigkeit der </w:t>
      </w:r>
      <w:r w:rsidR="00C55284">
        <w:t>HHU</w:t>
      </w:r>
      <w:r>
        <w:t xml:space="preserve">. Die Aktenführung und die Überwachung des Zahlungseinganges obliegen bis zum endgültigen Abschluss der Maßnahme der </w:t>
      </w:r>
      <w:r w:rsidR="00C55284">
        <w:t>HHU</w:t>
      </w:r>
      <w:r>
        <w:t>.</w:t>
      </w:r>
    </w:p>
    <w:p w14:paraId="084F10F8" w14:textId="77777777" w:rsidR="00B4660B" w:rsidRDefault="00B4660B" w:rsidP="006661B3">
      <w:pPr>
        <w:spacing w:after="0"/>
        <w:jc w:val="both"/>
      </w:pPr>
      <w:r>
        <w:t>5.2</w:t>
      </w:r>
    </w:p>
    <w:p w14:paraId="17F0EECB" w14:textId="17816F14" w:rsidR="00455A21" w:rsidRDefault="00455A21" w:rsidP="006661B3">
      <w:pPr>
        <w:spacing w:after="120"/>
        <w:jc w:val="both"/>
      </w:pPr>
      <w:r>
        <w:t>Ansprüche bis 100.000 Euro dürfen</w:t>
      </w:r>
      <w:r w:rsidR="00CA0406">
        <w:t xml:space="preserve"> durch die </w:t>
      </w:r>
      <w:r w:rsidR="00C55284">
        <w:t>HHU</w:t>
      </w:r>
      <w:r>
        <w:t xml:space="preserve"> </w:t>
      </w:r>
      <w:r w:rsidR="00521579">
        <w:t xml:space="preserve">in eigener Zuständigkeit </w:t>
      </w:r>
      <w:r>
        <w:t>niedergeschlagen werden</w:t>
      </w:r>
      <w:r w:rsidR="001974CD">
        <w:t>,</w:t>
      </w:r>
      <w:r>
        <w:t xml:space="preserve"> wenn feststeht, dass die Einziehung keinen Erfolg haben wird oder wenn die Kosten der Einziehung außer Verhältnis zur Höhe des Anspruchs stehen.</w:t>
      </w:r>
      <w:r w:rsidR="00521579">
        <w:t xml:space="preserve"> </w:t>
      </w:r>
    </w:p>
    <w:p w14:paraId="2259018A" w14:textId="77777777" w:rsidR="00B4660B" w:rsidRDefault="00B4660B" w:rsidP="006661B3">
      <w:pPr>
        <w:spacing w:after="0"/>
        <w:jc w:val="both"/>
      </w:pPr>
      <w:r>
        <w:t>5.3</w:t>
      </w:r>
    </w:p>
    <w:p w14:paraId="110593E0" w14:textId="51833B57" w:rsidR="00F505E9" w:rsidRDefault="00F505E9" w:rsidP="006661B3">
      <w:pPr>
        <w:jc w:val="both"/>
      </w:pPr>
      <w:r>
        <w:t>Niederschlagungen und Erlasse von Forderungen bedürfen der Zustimmung des Ministeriums, soweit im Einzelfall ein Betrag von 100.000 Euro überschritten wird.</w:t>
      </w:r>
    </w:p>
    <w:p w14:paraId="32884A6E" w14:textId="77777777" w:rsidR="007E4400" w:rsidRPr="00F505E9" w:rsidRDefault="007E4400" w:rsidP="006661B3">
      <w:pPr>
        <w:jc w:val="both"/>
      </w:pPr>
    </w:p>
    <w:p w14:paraId="6654497A" w14:textId="1540DAF2" w:rsidR="00F718AD" w:rsidRDefault="00237A96" w:rsidP="006661B3">
      <w:pPr>
        <w:spacing w:after="0"/>
        <w:jc w:val="both"/>
        <w:rPr>
          <w:b/>
        </w:rPr>
      </w:pPr>
      <w:r>
        <w:rPr>
          <w:b/>
        </w:rPr>
        <w:t>6</w:t>
      </w:r>
      <w:r w:rsidR="001233A4" w:rsidRPr="006661B3">
        <w:rPr>
          <w:b/>
        </w:rPr>
        <w:t xml:space="preserve"> </w:t>
      </w:r>
      <w:r w:rsidR="00606AD7" w:rsidRPr="006661B3">
        <w:rPr>
          <w:b/>
        </w:rPr>
        <w:tab/>
      </w:r>
    </w:p>
    <w:p w14:paraId="29C747E7" w14:textId="59066B6E" w:rsidR="001435B1" w:rsidRPr="006661B3" w:rsidRDefault="001435B1" w:rsidP="006661B3">
      <w:pPr>
        <w:spacing w:after="120"/>
        <w:jc w:val="both"/>
        <w:rPr>
          <w:b/>
        </w:rPr>
      </w:pPr>
      <w:r w:rsidRPr="006661B3">
        <w:rPr>
          <w:b/>
        </w:rPr>
        <w:t>Finanzierung der Mehrkosten</w:t>
      </w:r>
    </w:p>
    <w:p w14:paraId="237A56BD" w14:textId="741C2E08" w:rsidR="00B4660B" w:rsidRDefault="00237A96" w:rsidP="006661B3">
      <w:pPr>
        <w:spacing w:after="0"/>
        <w:jc w:val="both"/>
      </w:pPr>
      <w:r>
        <w:t>6</w:t>
      </w:r>
      <w:r w:rsidR="00B4660B">
        <w:t xml:space="preserve">.1 </w:t>
      </w:r>
    </w:p>
    <w:p w14:paraId="7A2F84E4" w14:textId="77777777" w:rsidR="00043C12" w:rsidRDefault="001435B1" w:rsidP="006661B3">
      <w:pPr>
        <w:spacing w:after="120"/>
        <w:jc w:val="both"/>
      </w:pPr>
      <w:r w:rsidRPr="00175DAD">
        <w:t>Die Mehrkosten</w:t>
      </w:r>
      <w:r>
        <w:t xml:space="preserve">, die </w:t>
      </w:r>
      <w:r w:rsidRPr="00175DAD">
        <w:t xml:space="preserve">der </w:t>
      </w:r>
      <w:r w:rsidR="00B45486">
        <w:t>HHU</w:t>
      </w:r>
      <w:r>
        <w:t xml:space="preserve"> durch die Zentralisierung der Vollstreckungsbehörden im nordrhein-westfälischen Hochschulwesen entstehen, werden</w:t>
      </w:r>
      <w:r w:rsidRPr="00175DAD">
        <w:t xml:space="preserve"> durch </w:t>
      </w:r>
      <w:r w:rsidR="001D6BA2">
        <w:t xml:space="preserve">alle nordrhein-westfälischen Hochschulen im Umlageverfahren finanziert. </w:t>
      </w:r>
      <w:r w:rsidRPr="00175DAD">
        <w:t xml:space="preserve">Danach </w:t>
      </w:r>
      <w:r>
        <w:t>werden die</w:t>
      </w:r>
      <w:r w:rsidRPr="00175DAD">
        <w:t xml:space="preserve"> </w:t>
      </w:r>
      <w:r w:rsidR="00143E77">
        <w:t xml:space="preserve">ehemaligen Vollstreckungsbehörden Bochum, Köln, Aachen, Bonn, Münster und Bielefeld mit einem pauschalen Festbetrag in Höhe von 8.000 Euro, die weiteren </w:t>
      </w:r>
      <w:r w:rsidRPr="00175DAD">
        <w:t>Universitäten</w:t>
      </w:r>
      <w:r>
        <w:t xml:space="preserve"> mit einem </w:t>
      </w:r>
      <w:r w:rsidR="00D751DD">
        <w:t xml:space="preserve">pauschalen </w:t>
      </w:r>
      <w:r>
        <w:t xml:space="preserve">Festbetrag in Höhe von </w:t>
      </w:r>
      <w:r w:rsidR="00D751DD">
        <w:t xml:space="preserve">jeweils </w:t>
      </w:r>
      <w:r>
        <w:t xml:space="preserve">2.000 </w:t>
      </w:r>
      <w:r w:rsidR="000576A7">
        <w:t>Euro</w:t>
      </w:r>
      <w:r>
        <w:t xml:space="preserve"> und die </w:t>
      </w:r>
      <w:r w:rsidR="00BD2209">
        <w:t>H</w:t>
      </w:r>
      <w:r w:rsidR="00BD2209" w:rsidRPr="00175DAD">
        <w:t xml:space="preserve">ochschulen </w:t>
      </w:r>
      <w:r w:rsidR="00BD2209">
        <w:t xml:space="preserve">für angewandte Wissenschaften </w:t>
      </w:r>
      <w:r>
        <w:t>mit</w:t>
      </w:r>
      <w:r w:rsidRPr="00175DAD">
        <w:t xml:space="preserve"> eine</w:t>
      </w:r>
      <w:r>
        <w:t>m</w:t>
      </w:r>
      <w:r w:rsidRPr="00175DAD">
        <w:t xml:space="preserve"> Festbetrag in Höhe von </w:t>
      </w:r>
      <w:r w:rsidR="00D751DD">
        <w:t xml:space="preserve">jeweils </w:t>
      </w:r>
      <w:r w:rsidRPr="00175DAD">
        <w:t xml:space="preserve">1.000 </w:t>
      </w:r>
      <w:r w:rsidR="000576A7">
        <w:t>Euro</w:t>
      </w:r>
      <w:r w:rsidRPr="00175DAD">
        <w:t xml:space="preserve"> </w:t>
      </w:r>
      <w:r>
        <w:t>beteiligt</w:t>
      </w:r>
      <w:r w:rsidR="001D6BA2">
        <w:t xml:space="preserve"> </w:t>
      </w:r>
    </w:p>
    <w:p w14:paraId="032192E7" w14:textId="77777777" w:rsidR="00043C12" w:rsidRDefault="00043C12" w:rsidP="006661B3">
      <w:pPr>
        <w:spacing w:after="120"/>
        <w:jc w:val="both"/>
      </w:pPr>
    </w:p>
    <w:p w14:paraId="5D1E435B" w14:textId="276259F3" w:rsidR="001D6BA2" w:rsidRDefault="001D6BA2" w:rsidP="006661B3">
      <w:pPr>
        <w:spacing w:after="120"/>
        <w:jc w:val="both"/>
      </w:pPr>
      <w:bookmarkStart w:id="0" w:name="_GoBack"/>
      <w:bookmarkEnd w:id="0"/>
      <w:r>
        <w:t>(fixer Betrag)</w:t>
      </w:r>
      <w:r w:rsidR="001435B1" w:rsidRPr="00175DAD">
        <w:t>. Der</w:t>
      </w:r>
      <w:r w:rsidR="001435B1">
        <w:t xml:space="preserve"> sich aus der Differenz der</w:t>
      </w:r>
      <w:r w:rsidR="00D751DD">
        <w:t xml:space="preserve"> tatsächlichen</w:t>
      </w:r>
      <w:r w:rsidR="001435B1">
        <w:t xml:space="preserve"> Mehrkosten abzüglich der </w:t>
      </w:r>
      <w:r w:rsidR="001435B1">
        <w:lastRenderedPageBreak/>
        <w:t xml:space="preserve">Summe der </w:t>
      </w:r>
      <w:r w:rsidR="00D751DD">
        <w:t xml:space="preserve">pauschalen </w:t>
      </w:r>
      <w:r w:rsidR="001435B1">
        <w:t xml:space="preserve">Festbeträge ergebende </w:t>
      </w:r>
      <w:r w:rsidR="001435B1" w:rsidRPr="00175DAD">
        <w:t>Restbetrag w</w:t>
      </w:r>
      <w:r w:rsidR="001435B1">
        <w:t>i</w:t>
      </w:r>
      <w:r w:rsidR="001435B1" w:rsidRPr="00175DAD">
        <w:t>rd anhand der Fallzahlen de</w:t>
      </w:r>
      <w:r w:rsidR="001435B1">
        <w:t>s</w:t>
      </w:r>
      <w:r w:rsidR="001435B1" w:rsidRPr="00175DAD">
        <w:t xml:space="preserve"> </w:t>
      </w:r>
      <w:r w:rsidR="001435B1">
        <w:t>vorherigen</w:t>
      </w:r>
      <w:r w:rsidR="001435B1" w:rsidRPr="00175DAD">
        <w:t xml:space="preserve"> Jahre</w:t>
      </w:r>
      <w:r w:rsidR="00606AD7">
        <w:t>s</w:t>
      </w:r>
      <w:r w:rsidR="001435B1" w:rsidRPr="00175DAD">
        <w:t xml:space="preserve"> anteilig pro Hochschule berechnet</w:t>
      </w:r>
      <w:r w:rsidR="001435B1">
        <w:t xml:space="preserve"> (variabler Betrag)</w:t>
      </w:r>
      <w:r w:rsidR="001435B1" w:rsidRPr="00175DAD">
        <w:t>.</w:t>
      </w:r>
    </w:p>
    <w:p w14:paraId="6D0ADD1D" w14:textId="677B2CCA" w:rsidR="001D6BA2" w:rsidRDefault="00237A96" w:rsidP="006661B3">
      <w:pPr>
        <w:spacing w:after="0"/>
        <w:jc w:val="both"/>
      </w:pPr>
      <w:r>
        <w:t>6</w:t>
      </w:r>
      <w:r w:rsidR="00B4660B">
        <w:t>.2</w:t>
      </w:r>
    </w:p>
    <w:p w14:paraId="54D18052" w14:textId="323D7636" w:rsidR="001435B1" w:rsidRDefault="001435B1" w:rsidP="006661B3">
      <w:pPr>
        <w:spacing w:after="120"/>
        <w:jc w:val="both"/>
      </w:pPr>
      <w:r>
        <w:t xml:space="preserve">Der sich aus der Summe von Festbetrag und variablen Betrag ergebende individuelle Betrag jeder Hochschule wird jeweils zum </w:t>
      </w:r>
      <w:r w:rsidR="001D6BA2">
        <w:t xml:space="preserve">30. </w:t>
      </w:r>
      <w:r w:rsidR="0057084A">
        <w:t xml:space="preserve">Juni </w:t>
      </w:r>
      <w:r>
        <w:t xml:space="preserve">jedes </w:t>
      </w:r>
      <w:r w:rsidRPr="00175DAD">
        <w:t>Jahres</w:t>
      </w:r>
      <w:r>
        <w:t xml:space="preserve"> von der </w:t>
      </w:r>
      <w:r w:rsidR="00780DF7">
        <w:t>HHU</w:t>
      </w:r>
      <w:r w:rsidR="0055135D" w:rsidRPr="0055135D">
        <w:t xml:space="preserve"> </w:t>
      </w:r>
      <w:r>
        <w:t>ermittelt</w:t>
      </w:r>
      <w:r w:rsidRPr="00175DAD">
        <w:t>.</w:t>
      </w:r>
      <w:r>
        <w:t xml:space="preserve"> Der Gesamtbetrag ist jeweils bis zum </w:t>
      </w:r>
      <w:r w:rsidR="001D6BA2">
        <w:t xml:space="preserve">30. </w:t>
      </w:r>
      <w:r w:rsidR="0057084A">
        <w:t xml:space="preserve">September </w:t>
      </w:r>
      <w:r w:rsidR="001D6BA2">
        <w:t>jedes Jahres</w:t>
      </w:r>
      <w:r>
        <w:t xml:space="preserve"> an die </w:t>
      </w:r>
      <w:r w:rsidR="00780DF7">
        <w:t>HHU</w:t>
      </w:r>
      <w:r>
        <w:t xml:space="preserve"> zu überweisen.</w:t>
      </w:r>
    </w:p>
    <w:p w14:paraId="04349B17" w14:textId="7AECC843" w:rsidR="001435B1" w:rsidRDefault="00237A96" w:rsidP="006661B3">
      <w:pPr>
        <w:spacing w:after="0"/>
        <w:jc w:val="both"/>
      </w:pPr>
      <w:r>
        <w:t>6</w:t>
      </w:r>
      <w:r w:rsidR="00B4660B">
        <w:t>.3</w:t>
      </w:r>
    </w:p>
    <w:p w14:paraId="4B96333D" w14:textId="050D3E4E" w:rsidR="007E4400" w:rsidRDefault="001435B1" w:rsidP="006661B3">
      <w:pPr>
        <w:jc w:val="both"/>
      </w:pPr>
      <w:r>
        <w:t xml:space="preserve">Die Mehrkosten werden </w:t>
      </w:r>
      <w:r w:rsidR="00DF5415">
        <w:t xml:space="preserve">für das Jahr </w:t>
      </w:r>
      <w:r w:rsidR="00BD2209">
        <w:t>202</w:t>
      </w:r>
      <w:r w:rsidR="0057084A">
        <w:t>2</w:t>
      </w:r>
      <w:r w:rsidR="00BD2209">
        <w:t xml:space="preserve"> </w:t>
      </w:r>
      <w:r>
        <w:t xml:space="preserve">auf </w:t>
      </w:r>
      <w:r w:rsidR="00DF5415">
        <w:t xml:space="preserve">pauschal </w:t>
      </w:r>
      <w:r w:rsidR="0057084A">
        <w:t>14</w:t>
      </w:r>
      <w:r w:rsidR="00BD2209">
        <w:t>0.000 Euro</w:t>
      </w:r>
      <w:r>
        <w:t xml:space="preserve"> festgesetzt. In den </w:t>
      </w:r>
      <w:r w:rsidR="001233A4">
        <w:t>darauffolgenden</w:t>
      </w:r>
      <w:r>
        <w:t xml:space="preserve"> Jahren werden die Mehrkosten </w:t>
      </w:r>
      <w:r w:rsidR="00BD56F3" w:rsidRPr="00BD56F3">
        <w:t>durch eine jährliche Erhöhung um 2</w:t>
      </w:r>
      <w:r w:rsidR="00595426">
        <w:t xml:space="preserve"> Prozent</w:t>
      </w:r>
      <w:r>
        <w:t xml:space="preserve"> fortgeschrieben.</w:t>
      </w:r>
    </w:p>
    <w:p w14:paraId="7CC17EB3" w14:textId="77777777" w:rsidR="001435B1" w:rsidRDefault="001435B1" w:rsidP="006661B3">
      <w:pPr>
        <w:jc w:val="both"/>
      </w:pPr>
    </w:p>
    <w:p w14:paraId="5D77D1EB" w14:textId="150DEEC8" w:rsidR="00F718AD" w:rsidRDefault="00237A96" w:rsidP="006661B3">
      <w:pPr>
        <w:spacing w:after="0"/>
        <w:jc w:val="both"/>
        <w:rPr>
          <w:b/>
        </w:rPr>
      </w:pPr>
      <w:r>
        <w:rPr>
          <w:b/>
        </w:rPr>
        <w:t>7</w:t>
      </w:r>
      <w:r w:rsidR="001233A4" w:rsidRPr="006661B3">
        <w:rPr>
          <w:b/>
        </w:rPr>
        <w:t xml:space="preserve"> </w:t>
      </w:r>
      <w:r w:rsidR="00606AD7" w:rsidRPr="006661B3">
        <w:rPr>
          <w:b/>
        </w:rPr>
        <w:tab/>
      </w:r>
    </w:p>
    <w:p w14:paraId="2626A3F2" w14:textId="07FD17B2" w:rsidR="003C18A7" w:rsidRDefault="00606AD7" w:rsidP="006661B3">
      <w:pPr>
        <w:spacing w:after="120"/>
        <w:jc w:val="both"/>
        <w:rPr>
          <w:b/>
        </w:rPr>
      </w:pPr>
      <w:r w:rsidRPr="006661B3">
        <w:rPr>
          <w:b/>
        </w:rPr>
        <w:t>Auslagen</w:t>
      </w:r>
    </w:p>
    <w:p w14:paraId="4C031F7A" w14:textId="528E1B3D" w:rsidR="00BD56F3" w:rsidRPr="006661B3" w:rsidRDefault="00237A96" w:rsidP="006661B3">
      <w:pPr>
        <w:spacing w:after="120"/>
        <w:contextualSpacing/>
        <w:jc w:val="both"/>
        <w:rPr>
          <w:b/>
        </w:rPr>
      </w:pPr>
      <w:r>
        <w:t>7</w:t>
      </w:r>
      <w:r w:rsidR="00BD56F3" w:rsidRPr="006661B3">
        <w:t>.1</w:t>
      </w:r>
    </w:p>
    <w:p w14:paraId="336C4BC3" w14:textId="30B7CFEC" w:rsidR="003C18A7" w:rsidRDefault="00DF5415" w:rsidP="00C55284">
      <w:pPr>
        <w:spacing w:after="120"/>
        <w:jc w:val="both"/>
      </w:pPr>
      <w:r>
        <w:t>Die</w:t>
      </w:r>
      <w:r w:rsidR="00385D56">
        <w:t xml:space="preserve"> durch den Beitreibungsauftrag entstandenen Auslagen der </w:t>
      </w:r>
      <w:r w:rsidR="00616FF6">
        <w:t>HHU</w:t>
      </w:r>
      <w:r>
        <w:t xml:space="preserve"> gehen</w:t>
      </w:r>
      <w:r w:rsidR="00385D56">
        <w:t xml:space="preserve"> zu Lasten der </w:t>
      </w:r>
      <w:r>
        <w:t xml:space="preserve">beauftragenden </w:t>
      </w:r>
      <w:r w:rsidR="00385D56">
        <w:t>Hochschule</w:t>
      </w:r>
      <w:r>
        <w:t>, soweit sie nicht vom Schuldner eingetrieben werden können. Dies gilt auch für den Fall einer befristeten oder unbefristeten Niederschlagung der Forderung.</w:t>
      </w:r>
      <w:r w:rsidR="00BD56F3" w:rsidRPr="00BD56F3">
        <w:t xml:space="preserve"> Die Abrechnung erfolgt jährlich.</w:t>
      </w:r>
    </w:p>
    <w:p w14:paraId="09B20E05" w14:textId="61EEB210" w:rsidR="00BD56F3" w:rsidRDefault="00237A96" w:rsidP="00C55284">
      <w:pPr>
        <w:spacing w:after="120"/>
        <w:contextualSpacing/>
        <w:jc w:val="both"/>
      </w:pPr>
      <w:r>
        <w:t>7</w:t>
      </w:r>
      <w:r w:rsidR="00BD56F3">
        <w:t>.2</w:t>
      </w:r>
    </w:p>
    <w:p w14:paraId="446C0EC8" w14:textId="735FAEC0" w:rsidR="00BD56F3" w:rsidRDefault="00BD56F3" w:rsidP="00C55284">
      <w:pPr>
        <w:spacing w:after="120"/>
        <w:jc w:val="both"/>
      </w:pPr>
      <w:r w:rsidRPr="00BD56F3">
        <w:t xml:space="preserve">Sofern die </w:t>
      </w:r>
      <w:r w:rsidR="00713E63">
        <w:t xml:space="preserve">gesamten </w:t>
      </w:r>
      <w:r w:rsidRPr="00BD56F3">
        <w:t xml:space="preserve">Auslagen einen Betrag in Höhe von 50,00 Euro jährlich nicht übersteigen, wird auf die Weiterberechnung der Auslagen seitens der </w:t>
      </w:r>
      <w:r w:rsidR="00B45486">
        <w:t>HHU</w:t>
      </w:r>
      <w:r w:rsidRPr="00BD56F3">
        <w:t xml:space="preserve"> verzichtet.</w:t>
      </w:r>
    </w:p>
    <w:p w14:paraId="33E7AEBC" w14:textId="5B366AE6" w:rsidR="007E4400" w:rsidRDefault="007E4400" w:rsidP="006661B3">
      <w:pPr>
        <w:jc w:val="both"/>
      </w:pPr>
    </w:p>
    <w:p w14:paraId="0FFF7E34" w14:textId="4251FC09" w:rsidR="00BD56F3" w:rsidRDefault="00237A96" w:rsidP="00BD56F3">
      <w:pPr>
        <w:spacing w:after="0"/>
        <w:jc w:val="both"/>
        <w:rPr>
          <w:b/>
        </w:rPr>
      </w:pPr>
      <w:r>
        <w:rPr>
          <w:b/>
        </w:rPr>
        <w:t>8</w:t>
      </w:r>
      <w:r w:rsidR="00BD56F3" w:rsidRPr="00770830">
        <w:rPr>
          <w:b/>
        </w:rPr>
        <w:t xml:space="preserve"> </w:t>
      </w:r>
      <w:r w:rsidR="00BD56F3" w:rsidRPr="00770830">
        <w:rPr>
          <w:b/>
        </w:rPr>
        <w:tab/>
      </w:r>
    </w:p>
    <w:p w14:paraId="57994890" w14:textId="3BC25B7E" w:rsidR="00BD56F3" w:rsidRDefault="00BD56F3" w:rsidP="00BD56F3">
      <w:pPr>
        <w:spacing w:after="120"/>
        <w:jc w:val="both"/>
        <w:rPr>
          <w:b/>
        </w:rPr>
      </w:pPr>
      <w:r w:rsidRPr="00BD56F3">
        <w:rPr>
          <w:b/>
        </w:rPr>
        <w:t>Auftragsverarbeitung</w:t>
      </w:r>
    </w:p>
    <w:p w14:paraId="3E683697" w14:textId="665A370B" w:rsidR="00BD56F3" w:rsidRDefault="00BD56F3" w:rsidP="00BD56F3">
      <w:pPr>
        <w:jc w:val="both"/>
      </w:pPr>
      <w:r>
        <w:t xml:space="preserve">Die Erteilung eines Beitreibungsauftrages stellt eine Funktionsübertragung dar. Somit wird die Aufgabe zur selbstständigen und eigenverantwortlichen Erfüllung an die </w:t>
      </w:r>
      <w:r w:rsidR="00ED7D0E">
        <w:t xml:space="preserve">HHU </w:t>
      </w:r>
      <w:r>
        <w:t>übertragen.</w:t>
      </w:r>
    </w:p>
    <w:p w14:paraId="056C0A5C" w14:textId="2DA3D46B" w:rsidR="00BD56F3" w:rsidRDefault="009F005E" w:rsidP="006661B3">
      <w:pPr>
        <w:jc w:val="both"/>
      </w:pPr>
      <w:r>
        <w:t xml:space="preserve">                                                  </w:t>
      </w:r>
    </w:p>
    <w:p w14:paraId="5F458729" w14:textId="598C7482" w:rsidR="00F718AD" w:rsidRDefault="00237A96" w:rsidP="006661B3">
      <w:pPr>
        <w:spacing w:after="0"/>
        <w:jc w:val="both"/>
        <w:rPr>
          <w:b/>
        </w:rPr>
      </w:pPr>
      <w:r>
        <w:rPr>
          <w:b/>
        </w:rPr>
        <w:t>9</w:t>
      </w:r>
      <w:r w:rsidR="00606AD7" w:rsidRPr="006661B3">
        <w:rPr>
          <w:b/>
        </w:rPr>
        <w:t xml:space="preserve"> </w:t>
      </w:r>
      <w:r w:rsidR="00606AD7" w:rsidRPr="006661B3">
        <w:rPr>
          <w:b/>
        </w:rPr>
        <w:tab/>
      </w:r>
    </w:p>
    <w:p w14:paraId="0072F289" w14:textId="228A9B50" w:rsidR="00606AD7" w:rsidRDefault="00606AD7" w:rsidP="006661B3">
      <w:pPr>
        <w:spacing w:after="120"/>
        <w:jc w:val="both"/>
        <w:rPr>
          <w:b/>
        </w:rPr>
      </w:pPr>
      <w:r w:rsidRPr="006661B3">
        <w:rPr>
          <w:b/>
        </w:rPr>
        <w:t>Inkrafttreten und Befristung</w:t>
      </w:r>
    </w:p>
    <w:p w14:paraId="1ABD43AA" w14:textId="77777777" w:rsidR="002066A3" w:rsidRDefault="002066A3" w:rsidP="002066A3">
      <w:pPr>
        <w:pStyle w:val="Listenabsatz"/>
        <w:ind w:left="0"/>
        <w:jc w:val="both"/>
      </w:pPr>
      <w:r>
        <w:t>Die Verwaltungsvorschriften treten zum 1. Januar 2022 in Kraft und zum 31. Dezember 2026 außer Kraft.</w:t>
      </w:r>
    </w:p>
    <w:p w14:paraId="5A86D8C5" w14:textId="77777777" w:rsidR="00225FEB" w:rsidRDefault="00225FEB" w:rsidP="006661B3">
      <w:pPr>
        <w:jc w:val="both"/>
        <w:rPr>
          <w:u w:val="single"/>
        </w:rPr>
      </w:pPr>
    </w:p>
    <w:p w14:paraId="1250882E" w14:textId="77777777" w:rsidR="00F52F52" w:rsidRPr="006661B3" w:rsidRDefault="00F52F52" w:rsidP="006661B3">
      <w:pPr>
        <w:spacing w:after="120"/>
        <w:jc w:val="both"/>
        <w:rPr>
          <w:b/>
        </w:rPr>
      </w:pPr>
      <w:r w:rsidRPr="006661B3">
        <w:rPr>
          <w:b/>
        </w:rPr>
        <w:t>Anlage</w:t>
      </w:r>
      <w:r w:rsidR="00175A95" w:rsidRPr="006661B3">
        <w:rPr>
          <w:b/>
        </w:rPr>
        <w:t>n</w:t>
      </w:r>
      <w:r w:rsidR="00C95A27" w:rsidRPr="006661B3">
        <w:rPr>
          <w:b/>
        </w:rPr>
        <w:t>:</w:t>
      </w:r>
    </w:p>
    <w:p w14:paraId="36850A87" w14:textId="46E73CAC" w:rsidR="00175A95" w:rsidRDefault="004B63B8" w:rsidP="004B63B8">
      <w:pPr>
        <w:contextualSpacing/>
        <w:jc w:val="both"/>
      </w:pPr>
      <w:r w:rsidRPr="004B63B8">
        <w:t xml:space="preserve">Anlage </w:t>
      </w:r>
      <w:r w:rsidR="00B26184">
        <w:t xml:space="preserve">1: </w:t>
      </w:r>
      <w:r w:rsidRPr="004B63B8">
        <w:t>Beitreibungsauftrag</w:t>
      </w:r>
      <w:r w:rsidR="00C00B61">
        <w:t>-</w:t>
      </w:r>
      <w:r w:rsidRPr="004B63B8">
        <w:t xml:space="preserve">Formular </w:t>
      </w:r>
      <w:r>
        <w:t>–</w:t>
      </w:r>
      <w:r w:rsidRPr="004B63B8">
        <w:t xml:space="preserve"> Regelarbeit</w:t>
      </w:r>
    </w:p>
    <w:p w14:paraId="055DF783" w14:textId="583FF1C3" w:rsidR="00A924C4" w:rsidRDefault="00A924C4" w:rsidP="002706A3">
      <w:pPr>
        <w:jc w:val="both"/>
      </w:pPr>
      <w:r>
        <w:t xml:space="preserve">Anlage </w:t>
      </w:r>
      <w:r w:rsidR="00B26184">
        <w:t xml:space="preserve">2: </w:t>
      </w:r>
      <w:r w:rsidR="00703244" w:rsidRPr="00703244">
        <w:t xml:space="preserve">Übermittlung </w:t>
      </w:r>
      <w:r w:rsidR="00703244">
        <w:t>ein</w:t>
      </w:r>
      <w:r w:rsidR="00703244" w:rsidRPr="00703244">
        <w:t>es Passwortes</w:t>
      </w:r>
    </w:p>
    <w:p w14:paraId="4FD45925" w14:textId="037A1482" w:rsidR="0046574E" w:rsidRDefault="0046574E" w:rsidP="0046574E">
      <w:pPr>
        <w:spacing w:after="120" w:line="240" w:lineRule="auto"/>
        <w:jc w:val="both"/>
        <w:rPr>
          <w:rFonts w:cs="Arial"/>
          <w:szCs w:val="24"/>
        </w:rPr>
      </w:pPr>
    </w:p>
    <w:sectPr w:rsidR="0046574E" w:rsidSect="009F005E">
      <w:headerReference w:type="even" r:id="rId8"/>
      <w:footerReference w:type="even" r:id="rId9"/>
      <w:footerReference w:type="default" r:id="rId10"/>
      <w:pgSz w:w="11906" w:h="16838" w:code="9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5F671" w14:textId="77777777" w:rsidR="00E04DDC" w:rsidRDefault="00E04DDC" w:rsidP="00957945">
      <w:pPr>
        <w:spacing w:after="0" w:line="240" w:lineRule="auto"/>
      </w:pPr>
      <w:r>
        <w:separator/>
      </w:r>
    </w:p>
    <w:p w14:paraId="0F28DAAD" w14:textId="77777777" w:rsidR="00FE253D" w:rsidRDefault="00FE253D"/>
  </w:endnote>
  <w:endnote w:type="continuationSeparator" w:id="0">
    <w:p w14:paraId="1355F70C" w14:textId="77777777" w:rsidR="00E04DDC" w:rsidRDefault="00E04DDC" w:rsidP="00957945">
      <w:pPr>
        <w:spacing w:after="0" w:line="240" w:lineRule="auto"/>
      </w:pPr>
      <w:r>
        <w:continuationSeparator/>
      </w:r>
    </w:p>
    <w:p w14:paraId="0F7AF362" w14:textId="77777777" w:rsidR="00FE253D" w:rsidRDefault="00FE2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02367" w14:textId="77777777" w:rsidR="006B333E" w:rsidRDefault="006B333E">
    <w:pPr>
      <w:pStyle w:val="Fuzeile"/>
    </w:pPr>
  </w:p>
  <w:p w14:paraId="44FBEF2E" w14:textId="77777777" w:rsidR="00FE253D" w:rsidRDefault="00FE25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811FF" w14:textId="26DD24A6" w:rsidR="00957945" w:rsidRDefault="00957945" w:rsidP="0095794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3C12">
      <w:rPr>
        <w:noProof/>
      </w:rPr>
      <w:t>4</w:t>
    </w:r>
    <w:r>
      <w:fldChar w:fldCharType="end"/>
    </w:r>
    <w:r>
      <w:t xml:space="preserve"> / </w:t>
    </w:r>
    <w:r w:rsidR="00043C12">
      <w:fldChar w:fldCharType="begin"/>
    </w:r>
    <w:r w:rsidR="00043C12">
      <w:instrText xml:space="preserve"> SECTIONPAGES   \* MERGEFORMAT </w:instrText>
    </w:r>
    <w:r w:rsidR="00043C12">
      <w:fldChar w:fldCharType="separate"/>
    </w:r>
    <w:r w:rsidR="00043C12">
      <w:rPr>
        <w:noProof/>
      </w:rPr>
      <w:t>4</w:t>
    </w:r>
    <w:r w:rsidR="00043C12">
      <w:rPr>
        <w:noProof/>
      </w:rPr>
      <w:fldChar w:fldCharType="end"/>
    </w:r>
  </w:p>
  <w:p w14:paraId="253AE61C" w14:textId="77777777" w:rsidR="00FE253D" w:rsidRDefault="00FE25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ACB52" w14:textId="77777777" w:rsidR="00E04DDC" w:rsidRDefault="00E04DDC" w:rsidP="00957945">
      <w:pPr>
        <w:spacing w:after="0" w:line="240" w:lineRule="auto"/>
      </w:pPr>
      <w:r>
        <w:separator/>
      </w:r>
    </w:p>
    <w:p w14:paraId="1A2096D6" w14:textId="77777777" w:rsidR="00FE253D" w:rsidRDefault="00FE253D"/>
  </w:footnote>
  <w:footnote w:type="continuationSeparator" w:id="0">
    <w:p w14:paraId="58649E52" w14:textId="77777777" w:rsidR="00E04DDC" w:rsidRDefault="00E04DDC" w:rsidP="00957945">
      <w:pPr>
        <w:spacing w:after="0" w:line="240" w:lineRule="auto"/>
      </w:pPr>
      <w:r>
        <w:continuationSeparator/>
      </w:r>
    </w:p>
    <w:p w14:paraId="63FD3957" w14:textId="77777777" w:rsidR="00FE253D" w:rsidRDefault="00FE25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6E391" w14:textId="07830865" w:rsidR="006B333E" w:rsidRDefault="006B333E">
    <w:pPr>
      <w:pStyle w:val="Kopfzeile"/>
    </w:pPr>
  </w:p>
  <w:p w14:paraId="1CB968D6" w14:textId="77777777" w:rsidR="00FE253D" w:rsidRDefault="00FE25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B0"/>
    <w:multiLevelType w:val="hybridMultilevel"/>
    <w:tmpl w:val="CBC614A2"/>
    <w:lvl w:ilvl="0" w:tplc="0A86F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20C0"/>
    <w:multiLevelType w:val="hybridMultilevel"/>
    <w:tmpl w:val="1AE070DC"/>
    <w:lvl w:ilvl="0" w:tplc="765E6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531C5"/>
    <w:multiLevelType w:val="hybridMultilevel"/>
    <w:tmpl w:val="F4CA8B86"/>
    <w:lvl w:ilvl="0" w:tplc="04070015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81A00"/>
    <w:multiLevelType w:val="hybridMultilevel"/>
    <w:tmpl w:val="4F749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10BD"/>
    <w:multiLevelType w:val="hybridMultilevel"/>
    <w:tmpl w:val="CAA0FE66"/>
    <w:lvl w:ilvl="0" w:tplc="04070015">
      <w:start w:val="1"/>
      <w:numFmt w:val="decimal"/>
      <w:lvlText w:val="(%1)"/>
      <w:lvlJc w:val="left"/>
      <w:pPr>
        <w:ind w:left="1995" w:hanging="360"/>
      </w:pPr>
    </w:lvl>
    <w:lvl w:ilvl="1" w:tplc="04070019" w:tentative="1">
      <w:start w:val="1"/>
      <w:numFmt w:val="lowerLetter"/>
      <w:lvlText w:val="%2."/>
      <w:lvlJc w:val="left"/>
      <w:pPr>
        <w:ind w:left="2715" w:hanging="360"/>
      </w:pPr>
    </w:lvl>
    <w:lvl w:ilvl="2" w:tplc="0407001B" w:tentative="1">
      <w:start w:val="1"/>
      <w:numFmt w:val="lowerRoman"/>
      <w:lvlText w:val="%3."/>
      <w:lvlJc w:val="right"/>
      <w:pPr>
        <w:ind w:left="3435" w:hanging="180"/>
      </w:pPr>
    </w:lvl>
    <w:lvl w:ilvl="3" w:tplc="0407000F" w:tentative="1">
      <w:start w:val="1"/>
      <w:numFmt w:val="decimal"/>
      <w:lvlText w:val="%4."/>
      <w:lvlJc w:val="left"/>
      <w:pPr>
        <w:ind w:left="4155" w:hanging="360"/>
      </w:pPr>
    </w:lvl>
    <w:lvl w:ilvl="4" w:tplc="04070019" w:tentative="1">
      <w:start w:val="1"/>
      <w:numFmt w:val="lowerLetter"/>
      <w:lvlText w:val="%5."/>
      <w:lvlJc w:val="left"/>
      <w:pPr>
        <w:ind w:left="4875" w:hanging="360"/>
      </w:pPr>
    </w:lvl>
    <w:lvl w:ilvl="5" w:tplc="0407001B" w:tentative="1">
      <w:start w:val="1"/>
      <w:numFmt w:val="lowerRoman"/>
      <w:lvlText w:val="%6."/>
      <w:lvlJc w:val="right"/>
      <w:pPr>
        <w:ind w:left="5595" w:hanging="180"/>
      </w:pPr>
    </w:lvl>
    <w:lvl w:ilvl="6" w:tplc="0407000F" w:tentative="1">
      <w:start w:val="1"/>
      <w:numFmt w:val="decimal"/>
      <w:lvlText w:val="%7."/>
      <w:lvlJc w:val="left"/>
      <w:pPr>
        <w:ind w:left="6315" w:hanging="360"/>
      </w:pPr>
    </w:lvl>
    <w:lvl w:ilvl="7" w:tplc="04070019" w:tentative="1">
      <w:start w:val="1"/>
      <w:numFmt w:val="lowerLetter"/>
      <w:lvlText w:val="%8."/>
      <w:lvlJc w:val="left"/>
      <w:pPr>
        <w:ind w:left="7035" w:hanging="360"/>
      </w:pPr>
    </w:lvl>
    <w:lvl w:ilvl="8" w:tplc="0407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5" w15:restartNumberingAfterBreak="0">
    <w:nsid w:val="28964C59"/>
    <w:multiLevelType w:val="hybridMultilevel"/>
    <w:tmpl w:val="BD701DD8"/>
    <w:lvl w:ilvl="0" w:tplc="1AEAC3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24CC61E">
      <w:start w:val="8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C3EBF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40E36"/>
    <w:multiLevelType w:val="hybridMultilevel"/>
    <w:tmpl w:val="CBA632F6"/>
    <w:lvl w:ilvl="0" w:tplc="0A86F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A7B47"/>
    <w:multiLevelType w:val="hybridMultilevel"/>
    <w:tmpl w:val="02C499E8"/>
    <w:lvl w:ilvl="0" w:tplc="0A86F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97700"/>
    <w:multiLevelType w:val="hybridMultilevel"/>
    <w:tmpl w:val="16F2C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612E9"/>
    <w:multiLevelType w:val="hybridMultilevel"/>
    <w:tmpl w:val="38D6F7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61C5B"/>
    <w:multiLevelType w:val="hybridMultilevel"/>
    <w:tmpl w:val="C7B62AA0"/>
    <w:lvl w:ilvl="0" w:tplc="04070015">
      <w:start w:val="1"/>
      <w:numFmt w:val="decimal"/>
      <w:lvlText w:val="(%1)"/>
      <w:lvlJc w:val="left"/>
      <w:pPr>
        <w:ind w:left="1996" w:hanging="360"/>
      </w:pPr>
    </w:lvl>
    <w:lvl w:ilvl="1" w:tplc="04070019" w:tentative="1">
      <w:start w:val="1"/>
      <w:numFmt w:val="lowerLetter"/>
      <w:lvlText w:val="%2."/>
      <w:lvlJc w:val="left"/>
      <w:pPr>
        <w:ind w:left="2716" w:hanging="360"/>
      </w:pPr>
    </w:lvl>
    <w:lvl w:ilvl="2" w:tplc="0407001B" w:tentative="1">
      <w:start w:val="1"/>
      <w:numFmt w:val="lowerRoman"/>
      <w:lvlText w:val="%3."/>
      <w:lvlJc w:val="right"/>
      <w:pPr>
        <w:ind w:left="3436" w:hanging="180"/>
      </w:pPr>
    </w:lvl>
    <w:lvl w:ilvl="3" w:tplc="0407000F" w:tentative="1">
      <w:start w:val="1"/>
      <w:numFmt w:val="decimal"/>
      <w:lvlText w:val="%4."/>
      <w:lvlJc w:val="left"/>
      <w:pPr>
        <w:ind w:left="4156" w:hanging="360"/>
      </w:pPr>
    </w:lvl>
    <w:lvl w:ilvl="4" w:tplc="04070019" w:tentative="1">
      <w:start w:val="1"/>
      <w:numFmt w:val="lowerLetter"/>
      <w:lvlText w:val="%5."/>
      <w:lvlJc w:val="left"/>
      <w:pPr>
        <w:ind w:left="4876" w:hanging="360"/>
      </w:pPr>
    </w:lvl>
    <w:lvl w:ilvl="5" w:tplc="0407001B" w:tentative="1">
      <w:start w:val="1"/>
      <w:numFmt w:val="lowerRoman"/>
      <w:lvlText w:val="%6."/>
      <w:lvlJc w:val="right"/>
      <w:pPr>
        <w:ind w:left="5596" w:hanging="180"/>
      </w:pPr>
    </w:lvl>
    <w:lvl w:ilvl="6" w:tplc="0407000F" w:tentative="1">
      <w:start w:val="1"/>
      <w:numFmt w:val="decimal"/>
      <w:lvlText w:val="%7."/>
      <w:lvlJc w:val="left"/>
      <w:pPr>
        <w:ind w:left="6316" w:hanging="360"/>
      </w:pPr>
    </w:lvl>
    <w:lvl w:ilvl="7" w:tplc="04070019" w:tentative="1">
      <w:start w:val="1"/>
      <w:numFmt w:val="lowerLetter"/>
      <w:lvlText w:val="%8."/>
      <w:lvlJc w:val="left"/>
      <w:pPr>
        <w:ind w:left="7036" w:hanging="360"/>
      </w:pPr>
    </w:lvl>
    <w:lvl w:ilvl="8" w:tplc="040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537E3FE5"/>
    <w:multiLevelType w:val="hybridMultilevel"/>
    <w:tmpl w:val="CBA632F6"/>
    <w:lvl w:ilvl="0" w:tplc="0A86F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01917"/>
    <w:multiLevelType w:val="hybridMultilevel"/>
    <w:tmpl w:val="ABA0B24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82A72"/>
    <w:multiLevelType w:val="hybridMultilevel"/>
    <w:tmpl w:val="0C8491D4"/>
    <w:lvl w:ilvl="0" w:tplc="1AEAC3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24CC61E">
      <w:start w:val="8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C3EBF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F2694"/>
    <w:multiLevelType w:val="hybridMultilevel"/>
    <w:tmpl w:val="CBA632F6"/>
    <w:lvl w:ilvl="0" w:tplc="0A86F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14CD4"/>
    <w:multiLevelType w:val="hybridMultilevel"/>
    <w:tmpl w:val="6CF09B78"/>
    <w:lvl w:ilvl="0" w:tplc="0A86F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C0865"/>
    <w:multiLevelType w:val="hybridMultilevel"/>
    <w:tmpl w:val="CBC614A2"/>
    <w:lvl w:ilvl="0" w:tplc="0A86F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3EBF"/>
    <w:multiLevelType w:val="hybridMultilevel"/>
    <w:tmpl w:val="29C25A38"/>
    <w:lvl w:ilvl="0" w:tplc="3758B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74FF9"/>
    <w:multiLevelType w:val="hybridMultilevel"/>
    <w:tmpl w:val="7D301D9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01BB1"/>
    <w:multiLevelType w:val="hybridMultilevel"/>
    <w:tmpl w:val="F9BC602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7"/>
  </w:num>
  <w:num w:numId="5">
    <w:abstractNumId w:val="16"/>
  </w:num>
  <w:num w:numId="6">
    <w:abstractNumId w:val="8"/>
  </w:num>
  <w:num w:numId="7">
    <w:abstractNumId w:val="18"/>
  </w:num>
  <w:num w:numId="8">
    <w:abstractNumId w:val="1"/>
  </w:num>
  <w:num w:numId="9">
    <w:abstractNumId w:val="9"/>
  </w:num>
  <w:num w:numId="10">
    <w:abstractNumId w:val="12"/>
  </w:num>
  <w:num w:numId="11">
    <w:abstractNumId w:val="2"/>
  </w:num>
  <w:num w:numId="12">
    <w:abstractNumId w:val="19"/>
  </w:num>
  <w:num w:numId="13">
    <w:abstractNumId w:val="5"/>
  </w:num>
  <w:num w:numId="14">
    <w:abstractNumId w:val="0"/>
  </w:num>
  <w:num w:numId="15">
    <w:abstractNumId w:val="11"/>
  </w:num>
  <w:num w:numId="16">
    <w:abstractNumId w:val="15"/>
  </w:num>
  <w:num w:numId="17">
    <w:abstractNumId w:val="14"/>
  </w:num>
  <w:num w:numId="18">
    <w:abstractNumId w:val="6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53"/>
    <w:rsid w:val="00011378"/>
    <w:rsid w:val="00025D4C"/>
    <w:rsid w:val="00031ACE"/>
    <w:rsid w:val="000343A7"/>
    <w:rsid w:val="00043C12"/>
    <w:rsid w:val="0004673E"/>
    <w:rsid w:val="00046DB7"/>
    <w:rsid w:val="00053D1F"/>
    <w:rsid w:val="000576A7"/>
    <w:rsid w:val="00062EB4"/>
    <w:rsid w:val="00091C5B"/>
    <w:rsid w:val="000B20F9"/>
    <w:rsid w:val="000B469F"/>
    <w:rsid w:val="000D0097"/>
    <w:rsid w:val="000D05B4"/>
    <w:rsid w:val="000D75CD"/>
    <w:rsid w:val="001030DB"/>
    <w:rsid w:val="001041A2"/>
    <w:rsid w:val="00110999"/>
    <w:rsid w:val="001233A4"/>
    <w:rsid w:val="0012798E"/>
    <w:rsid w:val="00134743"/>
    <w:rsid w:val="00137DC0"/>
    <w:rsid w:val="001435B1"/>
    <w:rsid w:val="00143E77"/>
    <w:rsid w:val="001446CF"/>
    <w:rsid w:val="001514C3"/>
    <w:rsid w:val="00152742"/>
    <w:rsid w:val="00163B51"/>
    <w:rsid w:val="00167D7E"/>
    <w:rsid w:val="001713AB"/>
    <w:rsid w:val="00175A95"/>
    <w:rsid w:val="00175DAD"/>
    <w:rsid w:val="00181F3A"/>
    <w:rsid w:val="00182B33"/>
    <w:rsid w:val="00182E48"/>
    <w:rsid w:val="001937B1"/>
    <w:rsid w:val="001974CD"/>
    <w:rsid w:val="001A2D53"/>
    <w:rsid w:val="001B0657"/>
    <w:rsid w:val="001B263E"/>
    <w:rsid w:val="001B6649"/>
    <w:rsid w:val="001B7D88"/>
    <w:rsid w:val="001C0F7C"/>
    <w:rsid w:val="001C273F"/>
    <w:rsid w:val="001D2E5D"/>
    <w:rsid w:val="001D6BA2"/>
    <w:rsid w:val="001E4AA0"/>
    <w:rsid w:val="001E6DCD"/>
    <w:rsid w:val="001F19C7"/>
    <w:rsid w:val="001F4C56"/>
    <w:rsid w:val="001F5960"/>
    <w:rsid w:val="00200E24"/>
    <w:rsid w:val="00200E9C"/>
    <w:rsid w:val="002030AE"/>
    <w:rsid w:val="00205302"/>
    <w:rsid w:val="002066A3"/>
    <w:rsid w:val="00212830"/>
    <w:rsid w:val="00225FEB"/>
    <w:rsid w:val="00235F25"/>
    <w:rsid w:val="00237A96"/>
    <w:rsid w:val="00252B90"/>
    <w:rsid w:val="00260DCB"/>
    <w:rsid w:val="00262F64"/>
    <w:rsid w:val="00265B41"/>
    <w:rsid w:val="002706A3"/>
    <w:rsid w:val="00270846"/>
    <w:rsid w:val="00284D01"/>
    <w:rsid w:val="002934BD"/>
    <w:rsid w:val="002958F2"/>
    <w:rsid w:val="002B20DA"/>
    <w:rsid w:val="002B45CC"/>
    <w:rsid w:val="002B67C3"/>
    <w:rsid w:val="002E5BC8"/>
    <w:rsid w:val="002F69BD"/>
    <w:rsid w:val="0030545E"/>
    <w:rsid w:val="003075DA"/>
    <w:rsid w:val="0031237A"/>
    <w:rsid w:val="00315546"/>
    <w:rsid w:val="003260FB"/>
    <w:rsid w:val="003266C9"/>
    <w:rsid w:val="00340F03"/>
    <w:rsid w:val="00346439"/>
    <w:rsid w:val="00352CD8"/>
    <w:rsid w:val="00372F77"/>
    <w:rsid w:val="00372F91"/>
    <w:rsid w:val="00385D56"/>
    <w:rsid w:val="00391250"/>
    <w:rsid w:val="003A70EC"/>
    <w:rsid w:val="003B422F"/>
    <w:rsid w:val="003C18A7"/>
    <w:rsid w:val="003C60AD"/>
    <w:rsid w:val="003F0618"/>
    <w:rsid w:val="003F502D"/>
    <w:rsid w:val="003F71E5"/>
    <w:rsid w:val="0040082B"/>
    <w:rsid w:val="00407130"/>
    <w:rsid w:val="00413D6F"/>
    <w:rsid w:val="0041478A"/>
    <w:rsid w:val="004149A2"/>
    <w:rsid w:val="00420B89"/>
    <w:rsid w:val="00421DCC"/>
    <w:rsid w:val="00426560"/>
    <w:rsid w:val="00434DE5"/>
    <w:rsid w:val="004414B6"/>
    <w:rsid w:val="00441BE8"/>
    <w:rsid w:val="00455A21"/>
    <w:rsid w:val="00463C36"/>
    <w:rsid w:val="0046574E"/>
    <w:rsid w:val="00467F84"/>
    <w:rsid w:val="00476A5B"/>
    <w:rsid w:val="00486B79"/>
    <w:rsid w:val="0048701C"/>
    <w:rsid w:val="004A2940"/>
    <w:rsid w:val="004A7E14"/>
    <w:rsid w:val="004B4731"/>
    <w:rsid w:val="004B63B8"/>
    <w:rsid w:val="004C6D89"/>
    <w:rsid w:val="004D0B53"/>
    <w:rsid w:val="004D5482"/>
    <w:rsid w:val="004D618A"/>
    <w:rsid w:val="004E2654"/>
    <w:rsid w:val="004E7860"/>
    <w:rsid w:val="004E7F42"/>
    <w:rsid w:val="004F0836"/>
    <w:rsid w:val="004F3ABC"/>
    <w:rsid w:val="004F5532"/>
    <w:rsid w:val="00500D4E"/>
    <w:rsid w:val="00516A9C"/>
    <w:rsid w:val="00521579"/>
    <w:rsid w:val="0052469D"/>
    <w:rsid w:val="00526B7D"/>
    <w:rsid w:val="00532535"/>
    <w:rsid w:val="00541A4B"/>
    <w:rsid w:val="005467D4"/>
    <w:rsid w:val="00546B5A"/>
    <w:rsid w:val="0054780E"/>
    <w:rsid w:val="0055003C"/>
    <w:rsid w:val="00550649"/>
    <w:rsid w:val="0055135D"/>
    <w:rsid w:val="005540FB"/>
    <w:rsid w:val="0057084A"/>
    <w:rsid w:val="00572E7E"/>
    <w:rsid w:val="005748CA"/>
    <w:rsid w:val="00576D3D"/>
    <w:rsid w:val="00580C68"/>
    <w:rsid w:val="005814C2"/>
    <w:rsid w:val="00595426"/>
    <w:rsid w:val="005A323B"/>
    <w:rsid w:val="005A3734"/>
    <w:rsid w:val="005A4E9D"/>
    <w:rsid w:val="005B708E"/>
    <w:rsid w:val="005C2D1C"/>
    <w:rsid w:val="005C578D"/>
    <w:rsid w:val="005D0A56"/>
    <w:rsid w:val="005D1B94"/>
    <w:rsid w:val="005D1CE3"/>
    <w:rsid w:val="0060107A"/>
    <w:rsid w:val="00602A60"/>
    <w:rsid w:val="00606AD7"/>
    <w:rsid w:val="00606EB8"/>
    <w:rsid w:val="0061030A"/>
    <w:rsid w:val="00610B28"/>
    <w:rsid w:val="00616FF6"/>
    <w:rsid w:val="00625D2F"/>
    <w:rsid w:val="00627D4D"/>
    <w:rsid w:val="00643689"/>
    <w:rsid w:val="0065294D"/>
    <w:rsid w:val="0065700E"/>
    <w:rsid w:val="006661B3"/>
    <w:rsid w:val="00680F56"/>
    <w:rsid w:val="006A3384"/>
    <w:rsid w:val="006B333E"/>
    <w:rsid w:val="006B3AC1"/>
    <w:rsid w:val="006C0F9E"/>
    <w:rsid w:val="006C1B52"/>
    <w:rsid w:val="006C3478"/>
    <w:rsid w:val="006D5585"/>
    <w:rsid w:val="006D767E"/>
    <w:rsid w:val="006E0253"/>
    <w:rsid w:val="006E1520"/>
    <w:rsid w:val="006E7FDB"/>
    <w:rsid w:val="006F5423"/>
    <w:rsid w:val="00702135"/>
    <w:rsid w:val="00703244"/>
    <w:rsid w:val="00704187"/>
    <w:rsid w:val="00710DDB"/>
    <w:rsid w:val="00712ACA"/>
    <w:rsid w:val="00712E47"/>
    <w:rsid w:val="00713D57"/>
    <w:rsid w:val="00713E63"/>
    <w:rsid w:val="00716E78"/>
    <w:rsid w:val="0072086B"/>
    <w:rsid w:val="007213B6"/>
    <w:rsid w:val="00733E32"/>
    <w:rsid w:val="007349DE"/>
    <w:rsid w:val="00744C66"/>
    <w:rsid w:val="00747D99"/>
    <w:rsid w:val="007511DD"/>
    <w:rsid w:val="00756F73"/>
    <w:rsid w:val="00757BD3"/>
    <w:rsid w:val="00760997"/>
    <w:rsid w:val="00763357"/>
    <w:rsid w:val="00776A0C"/>
    <w:rsid w:val="00777C7E"/>
    <w:rsid w:val="00780DF7"/>
    <w:rsid w:val="00783666"/>
    <w:rsid w:val="00791D51"/>
    <w:rsid w:val="007939D2"/>
    <w:rsid w:val="0079632B"/>
    <w:rsid w:val="007A1819"/>
    <w:rsid w:val="007A52CB"/>
    <w:rsid w:val="007B06C4"/>
    <w:rsid w:val="007C2FC9"/>
    <w:rsid w:val="007E2C28"/>
    <w:rsid w:val="007E4400"/>
    <w:rsid w:val="007F4EE4"/>
    <w:rsid w:val="007F65B2"/>
    <w:rsid w:val="007F716C"/>
    <w:rsid w:val="00812567"/>
    <w:rsid w:val="0081414D"/>
    <w:rsid w:val="008157D6"/>
    <w:rsid w:val="008177EF"/>
    <w:rsid w:val="00825465"/>
    <w:rsid w:val="00827077"/>
    <w:rsid w:val="00875EF9"/>
    <w:rsid w:val="008774AF"/>
    <w:rsid w:val="00880C5E"/>
    <w:rsid w:val="008817EA"/>
    <w:rsid w:val="008868E7"/>
    <w:rsid w:val="00895574"/>
    <w:rsid w:val="008B5441"/>
    <w:rsid w:val="008B5549"/>
    <w:rsid w:val="008D74DB"/>
    <w:rsid w:val="008E51C2"/>
    <w:rsid w:val="008F3F2B"/>
    <w:rsid w:val="0091088A"/>
    <w:rsid w:val="00936250"/>
    <w:rsid w:val="00951C9F"/>
    <w:rsid w:val="00952000"/>
    <w:rsid w:val="0095201B"/>
    <w:rsid w:val="00956001"/>
    <w:rsid w:val="00957945"/>
    <w:rsid w:val="0096196A"/>
    <w:rsid w:val="00962C39"/>
    <w:rsid w:val="00965CA7"/>
    <w:rsid w:val="009840FA"/>
    <w:rsid w:val="009977C8"/>
    <w:rsid w:val="00997E15"/>
    <w:rsid w:val="009A5A39"/>
    <w:rsid w:val="009B602D"/>
    <w:rsid w:val="009C44DA"/>
    <w:rsid w:val="009D5369"/>
    <w:rsid w:val="009F005E"/>
    <w:rsid w:val="009F55CB"/>
    <w:rsid w:val="00A0679E"/>
    <w:rsid w:val="00A10C3A"/>
    <w:rsid w:val="00A128CC"/>
    <w:rsid w:val="00A505FF"/>
    <w:rsid w:val="00A63E68"/>
    <w:rsid w:val="00A879DF"/>
    <w:rsid w:val="00A924C4"/>
    <w:rsid w:val="00A929F7"/>
    <w:rsid w:val="00A97B14"/>
    <w:rsid w:val="00AA10C8"/>
    <w:rsid w:val="00AA2C66"/>
    <w:rsid w:val="00AC5427"/>
    <w:rsid w:val="00AD222C"/>
    <w:rsid w:val="00AD2764"/>
    <w:rsid w:val="00AE4763"/>
    <w:rsid w:val="00AF7063"/>
    <w:rsid w:val="00B11BA5"/>
    <w:rsid w:val="00B13C65"/>
    <w:rsid w:val="00B26184"/>
    <w:rsid w:val="00B27687"/>
    <w:rsid w:val="00B3045B"/>
    <w:rsid w:val="00B3621A"/>
    <w:rsid w:val="00B37BA5"/>
    <w:rsid w:val="00B45486"/>
    <w:rsid w:val="00B4660B"/>
    <w:rsid w:val="00B7318D"/>
    <w:rsid w:val="00B84644"/>
    <w:rsid w:val="00BA180E"/>
    <w:rsid w:val="00BA27A8"/>
    <w:rsid w:val="00BB4509"/>
    <w:rsid w:val="00BC1930"/>
    <w:rsid w:val="00BD1AC6"/>
    <w:rsid w:val="00BD2209"/>
    <w:rsid w:val="00BD56F3"/>
    <w:rsid w:val="00BE1BD2"/>
    <w:rsid w:val="00BE3216"/>
    <w:rsid w:val="00BE3F16"/>
    <w:rsid w:val="00BE6E32"/>
    <w:rsid w:val="00BF01DC"/>
    <w:rsid w:val="00BF3DFB"/>
    <w:rsid w:val="00BF3FEF"/>
    <w:rsid w:val="00C00B61"/>
    <w:rsid w:val="00C01770"/>
    <w:rsid w:val="00C062FE"/>
    <w:rsid w:val="00C101B3"/>
    <w:rsid w:val="00C24E91"/>
    <w:rsid w:val="00C316BA"/>
    <w:rsid w:val="00C31D35"/>
    <w:rsid w:val="00C46D44"/>
    <w:rsid w:val="00C47FBE"/>
    <w:rsid w:val="00C5442A"/>
    <w:rsid w:val="00C54CF2"/>
    <w:rsid w:val="00C55284"/>
    <w:rsid w:val="00C60F7E"/>
    <w:rsid w:val="00C76462"/>
    <w:rsid w:val="00C810CF"/>
    <w:rsid w:val="00C95A27"/>
    <w:rsid w:val="00CA0406"/>
    <w:rsid w:val="00CA0525"/>
    <w:rsid w:val="00CA0C79"/>
    <w:rsid w:val="00CA3EEF"/>
    <w:rsid w:val="00CB2D54"/>
    <w:rsid w:val="00CB54B9"/>
    <w:rsid w:val="00CC583E"/>
    <w:rsid w:val="00CD73FD"/>
    <w:rsid w:val="00CE25B1"/>
    <w:rsid w:val="00CE5697"/>
    <w:rsid w:val="00CF26B0"/>
    <w:rsid w:val="00D00CF7"/>
    <w:rsid w:val="00D038C6"/>
    <w:rsid w:val="00D12CAB"/>
    <w:rsid w:val="00D2549B"/>
    <w:rsid w:val="00D30E1F"/>
    <w:rsid w:val="00D41C15"/>
    <w:rsid w:val="00D46C32"/>
    <w:rsid w:val="00D50757"/>
    <w:rsid w:val="00D5132E"/>
    <w:rsid w:val="00D5331B"/>
    <w:rsid w:val="00D54D94"/>
    <w:rsid w:val="00D575A4"/>
    <w:rsid w:val="00D72874"/>
    <w:rsid w:val="00D751DD"/>
    <w:rsid w:val="00D76BBE"/>
    <w:rsid w:val="00D81379"/>
    <w:rsid w:val="00D94B04"/>
    <w:rsid w:val="00DA7958"/>
    <w:rsid w:val="00DA7C5B"/>
    <w:rsid w:val="00DB2012"/>
    <w:rsid w:val="00DB6650"/>
    <w:rsid w:val="00DB7A52"/>
    <w:rsid w:val="00DC33DD"/>
    <w:rsid w:val="00DF5415"/>
    <w:rsid w:val="00E04DDC"/>
    <w:rsid w:val="00E14EC7"/>
    <w:rsid w:val="00E23DD9"/>
    <w:rsid w:val="00E2479D"/>
    <w:rsid w:val="00E26577"/>
    <w:rsid w:val="00E4756C"/>
    <w:rsid w:val="00E51AC2"/>
    <w:rsid w:val="00E51AF1"/>
    <w:rsid w:val="00E63B65"/>
    <w:rsid w:val="00EA672A"/>
    <w:rsid w:val="00EB28AD"/>
    <w:rsid w:val="00EC44F4"/>
    <w:rsid w:val="00ED7D0E"/>
    <w:rsid w:val="00EE0081"/>
    <w:rsid w:val="00EE50A5"/>
    <w:rsid w:val="00EE7578"/>
    <w:rsid w:val="00F1640B"/>
    <w:rsid w:val="00F17014"/>
    <w:rsid w:val="00F239D0"/>
    <w:rsid w:val="00F23BB6"/>
    <w:rsid w:val="00F256FA"/>
    <w:rsid w:val="00F43628"/>
    <w:rsid w:val="00F43F3D"/>
    <w:rsid w:val="00F46AD6"/>
    <w:rsid w:val="00F505E9"/>
    <w:rsid w:val="00F52F52"/>
    <w:rsid w:val="00F61ED0"/>
    <w:rsid w:val="00F71093"/>
    <w:rsid w:val="00F718AD"/>
    <w:rsid w:val="00FA555D"/>
    <w:rsid w:val="00FA7585"/>
    <w:rsid w:val="00FB510F"/>
    <w:rsid w:val="00FC3FCF"/>
    <w:rsid w:val="00FD189D"/>
    <w:rsid w:val="00FD37B3"/>
    <w:rsid w:val="00FE253D"/>
    <w:rsid w:val="00FE4669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F66E94"/>
  <w15:docId w15:val="{6CD02FBF-79B2-49DA-BC08-DE260060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6A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945"/>
  </w:style>
  <w:style w:type="paragraph" w:styleId="Fuzeile">
    <w:name w:val="footer"/>
    <w:basedOn w:val="Standard"/>
    <w:link w:val="Fu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945"/>
  </w:style>
  <w:style w:type="paragraph" w:styleId="Listenabsatz">
    <w:name w:val="List Paragraph"/>
    <w:basedOn w:val="Standard"/>
    <w:uiPriority w:val="34"/>
    <w:qFormat/>
    <w:rsid w:val="001446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4DB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C0F7C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C0F7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C0F7C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0F7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0F7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C0F7C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18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18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18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4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46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A180E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C810CF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86EFC-4F9E-47CA-A4CD-686DFFE9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6785</Characters>
  <Application>Microsoft Office Word</Application>
  <DocSecurity>0</DocSecurity>
  <Lines>168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Carsten.Floettmann@miwf.nrw.de</dc:creator>
  <cp:lastModifiedBy>Gottowik, Uwe</cp:lastModifiedBy>
  <cp:revision>4</cp:revision>
  <cp:lastPrinted>2021-08-05T11:11:00Z</cp:lastPrinted>
  <dcterms:created xsi:type="dcterms:W3CDTF">2021-08-05T11:07:00Z</dcterms:created>
  <dcterms:modified xsi:type="dcterms:W3CDTF">2021-08-05T11:11:00Z</dcterms:modified>
</cp:coreProperties>
</file>